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7197" w14:textId="77777777" w:rsidR="00AB569D" w:rsidRPr="00AB569D" w:rsidRDefault="00AB569D" w:rsidP="00AB569D">
      <w:pPr>
        <w:rPr>
          <w:rFonts w:ascii="Arial" w:hAnsi="Arial" w:cs="Arial"/>
          <w:sz w:val="24"/>
          <w:szCs w:val="24"/>
        </w:rPr>
      </w:pPr>
      <w:bookmarkStart w:id="0" w:name="_M45"/>
      <w:r w:rsidRPr="00AB569D">
        <w:rPr>
          <w:rFonts w:ascii="Arial" w:hAnsi="Arial" w:cs="Arial"/>
          <w:sz w:val="24"/>
          <w:szCs w:val="24"/>
          <w:u w:val="single"/>
        </w:rPr>
        <w:t>No. 45</w:t>
      </w:r>
      <w:bookmarkEnd w:id="0"/>
    </w:p>
    <w:p w14:paraId="7E749780" w14:textId="77777777" w:rsidR="00AB569D" w:rsidRPr="00AB569D" w:rsidRDefault="00AB569D" w:rsidP="00AB569D">
      <w:pPr>
        <w:rPr>
          <w:rFonts w:ascii="Arial" w:hAnsi="Arial" w:cs="Arial"/>
          <w:sz w:val="24"/>
          <w:szCs w:val="24"/>
        </w:rPr>
      </w:pPr>
      <w:r w:rsidRPr="00AB569D">
        <w:rPr>
          <w:rFonts w:ascii="Arial" w:hAnsi="Arial" w:cs="Arial"/>
          <w:sz w:val="24"/>
          <w:szCs w:val="24"/>
        </w:rPr>
        <w:t> </w:t>
      </w:r>
    </w:p>
    <w:p w14:paraId="59E50E32" w14:textId="77777777" w:rsidR="00AB569D" w:rsidRPr="00AB569D" w:rsidRDefault="00AB569D" w:rsidP="00AB569D">
      <w:pPr>
        <w:rPr>
          <w:rFonts w:ascii="Arial" w:hAnsi="Arial" w:cs="Arial"/>
          <w:sz w:val="24"/>
          <w:szCs w:val="24"/>
        </w:rPr>
      </w:pPr>
      <w:r w:rsidRPr="00AB569D">
        <w:rPr>
          <w:rFonts w:ascii="Arial" w:hAnsi="Arial" w:cs="Arial"/>
          <w:sz w:val="24"/>
          <w:szCs w:val="24"/>
        </w:rPr>
        <w:t>O. 74, r. 90</w:t>
      </w:r>
    </w:p>
    <w:p w14:paraId="435E8861" w14:textId="77777777" w:rsidR="00AB569D" w:rsidRPr="00AB569D" w:rsidRDefault="00AB569D" w:rsidP="00AB569D">
      <w:pPr>
        <w:rPr>
          <w:rFonts w:ascii="Arial" w:hAnsi="Arial" w:cs="Arial"/>
          <w:sz w:val="24"/>
          <w:szCs w:val="24"/>
        </w:rPr>
      </w:pPr>
      <w:r w:rsidRPr="00AB569D">
        <w:rPr>
          <w:rFonts w:ascii="Arial" w:hAnsi="Arial" w:cs="Arial"/>
          <w:sz w:val="24"/>
          <w:szCs w:val="24"/>
        </w:rPr>
        <w:t> </w:t>
      </w:r>
    </w:p>
    <w:p w14:paraId="1CA2C084" w14:textId="77777777" w:rsidR="00AB569D" w:rsidRPr="00AB569D" w:rsidRDefault="00AB569D" w:rsidP="00AB569D">
      <w:pPr>
        <w:rPr>
          <w:rFonts w:ascii="Arial" w:hAnsi="Arial" w:cs="Arial"/>
          <w:sz w:val="24"/>
          <w:szCs w:val="24"/>
        </w:rPr>
      </w:pPr>
      <w:r w:rsidRPr="00AB569D">
        <w:rPr>
          <w:rFonts w:ascii="Arial" w:hAnsi="Arial" w:cs="Arial"/>
          <w:sz w:val="24"/>
          <w:szCs w:val="24"/>
        </w:rPr>
        <w:t>RETURN OF FINAL WINDING UP MEETINGS.</w:t>
      </w:r>
    </w:p>
    <w:p w14:paraId="2AC0422D" w14:textId="77777777" w:rsidR="00AB569D" w:rsidRPr="00AB569D" w:rsidRDefault="00AB569D" w:rsidP="00AB569D">
      <w:pPr>
        <w:rPr>
          <w:rFonts w:ascii="Arial" w:hAnsi="Arial" w:cs="Arial"/>
          <w:sz w:val="24"/>
          <w:szCs w:val="24"/>
        </w:rPr>
      </w:pPr>
      <w:r w:rsidRPr="00AB569D">
        <w:rPr>
          <w:rFonts w:ascii="Arial" w:hAnsi="Arial" w:cs="Arial"/>
          <w:sz w:val="24"/>
          <w:szCs w:val="24"/>
        </w:rPr>
        <w:t> </w:t>
      </w:r>
    </w:p>
    <w:p w14:paraId="2CB770FF" w14:textId="77777777" w:rsidR="00AB569D" w:rsidRPr="00AB569D" w:rsidRDefault="00AB569D" w:rsidP="00AB569D">
      <w:pPr>
        <w:rPr>
          <w:rFonts w:ascii="Arial" w:hAnsi="Arial" w:cs="Arial"/>
          <w:sz w:val="24"/>
          <w:szCs w:val="24"/>
        </w:rPr>
      </w:pPr>
      <w:r w:rsidRPr="00AB569D">
        <w:rPr>
          <w:rFonts w:ascii="Arial" w:hAnsi="Arial" w:cs="Arial"/>
          <w:sz w:val="24"/>
          <w:szCs w:val="24"/>
        </w:rPr>
        <w:t>(Pursuant to section 706 of the Companies Act 2014).</w:t>
      </w:r>
    </w:p>
    <w:p w14:paraId="1476A667" w14:textId="77777777" w:rsidR="00AB569D" w:rsidRPr="00AB569D" w:rsidRDefault="00AB569D" w:rsidP="00AB569D">
      <w:pPr>
        <w:rPr>
          <w:rFonts w:ascii="Arial" w:hAnsi="Arial" w:cs="Arial"/>
          <w:sz w:val="24"/>
          <w:szCs w:val="24"/>
        </w:rPr>
      </w:pPr>
      <w:r w:rsidRPr="00AB569D">
        <w:rPr>
          <w:rFonts w:ascii="Arial" w:hAnsi="Arial" w:cs="Arial"/>
          <w:sz w:val="24"/>
          <w:szCs w:val="24"/>
        </w:rPr>
        <w:t> </w:t>
      </w:r>
    </w:p>
    <w:p w14:paraId="26DA8700" w14:textId="77777777" w:rsidR="00AB569D" w:rsidRPr="00AB569D" w:rsidRDefault="00AB569D" w:rsidP="00AB569D">
      <w:pPr>
        <w:rPr>
          <w:rFonts w:ascii="Arial" w:hAnsi="Arial" w:cs="Arial"/>
          <w:sz w:val="24"/>
          <w:szCs w:val="24"/>
        </w:rPr>
      </w:pPr>
      <w:r w:rsidRPr="00AB569D">
        <w:rPr>
          <w:rFonts w:ascii="Arial" w:hAnsi="Arial" w:cs="Arial"/>
          <w:sz w:val="24"/>
          <w:szCs w:val="24"/>
        </w:rPr>
        <w:t>RETURN OF THE FINAL WINDING UP MEETING OF MEMBERS AND CREDITORS (CREDITORS' VOLUNTARY WINDING UP).</w:t>
      </w:r>
    </w:p>
    <w:p w14:paraId="2879CCB7" w14:textId="77777777" w:rsidR="00AB569D" w:rsidRPr="00AB569D" w:rsidRDefault="00AB569D" w:rsidP="00AB569D">
      <w:pPr>
        <w:rPr>
          <w:rFonts w:ascii="Arial" w:hAnsi="Arial" w:cs="Arial"/>
          <w:sz w:val="24"/>
          <w:szCs w:val="24"/>
        </w:rPr>
      </w:pPr>
      <w:r w:rsidRPr="00AB569D">
        <w:rPr>
          <w:rFonts w:ascii="Arial" w:hAnsi="Arial" w:cs="Arial"/>
          <w:sz w:val="24"/>
          <w:szCs w:val="24"/>
        </w:rPr>
        <w:t> </w:t>
      </w:r>
    </w:p>
    <w:p w14:paraId="63AF476B" w14:textId="77777777" w:rsidR="00AB569D" w:rsidRPr="00AB569D" w:rsidRDefault="00AB569D" w:rsidP="00AB569D">
      <w:pPr>
        <w:rPr>
          <w:rFonts w:ascii="Arial" w:hAnsi="Arial" w:cs="Arial"/>
          <w:sz w:val="24"/>
          <w:szCs w:val="24"/>
        </w:rPr>
      </w:pPr>
      <w:r w:rsidRPr="00AB569D">
        <w:rPr>
          <w:rFonts w:ascii="Arial" w:hAnsi="Arial" w:cs="Arial"/>
          <w:i/>
          <w:iCs/>
          <w:sz w:val="24"/>
          <w:szCs w:val="24"/>
        </w:rPr>
        <w:t>Name of company</w:t>
      </w:r>
    </w:p>
    <w:p w14:paraId="5653C3E3" w14:textId="77777777" w:rsidR="00AB569D" w:rsidRPr="00AB569D" w:rsidRDefault="00AB569D" w:rsidP="00AB569D">
      <w:pPr>
        <w:rPr>
          <w:rFonts w:ascii="Arial" w:hAnsi="Arial" w:cs="Arial"/>
          <w:sz w:val="24"/>
          <w:szCs w:val="24"/>
        </w:rPr>
      </w:pPr>
      <w:r w:rsidRPr="00AB569D">
        <w:rPr>
          <w:rFonts w:ascii="Arial" w:hAnsi="Arial" w:cs="Arial"/>
          <w:i/>
          <w:iCs/>
          <w:sz w:val="24"/>
          <w:szCs w:val="24"/>
        </w:rPr>
        <w:t>No. of company</w:t>
      </w:r>
    </w:p>
    <w:p w14:paraId="668ECA82" w14:textId="77777777" w:rsidR="00AB569D" w:rsidRPr="00AB569D" w:rsidRDefault="00AB569D" w:rsidP="00AB569D">
      <w:pPr>
        <w:rPr>
          <w:rFonts w:ascii="Arial" w:hAnsi="Arial" w:cs="Arial"/>
          <w:sz w:val="24"/>
          <w:szCs w:val="24"/>
        </w:rPr>
      </w:pPr>
      <w:r w:rsidRPr="00AB569D">
        <w:rPr>
          <w:rFonts w:ascii="Arial" w:hAnsi="Arial" w:cs="Arial"/>
          <w:i/>
          <w:iCs/>
          <w:sz w:val="24"/>
          <w:szCs w:val="24"/>
        </w:rPr>
        <w:t>Presented by</w:t>
      </w:r>
    </w:p>
    <w:p w14:paraId="0EFBBE69" w14:textId="77777777" w:rsidR="00AB569D" w:rsidRPr="00AB569D" w:rsidRDefault="00AB569D" w:rsidP="00AB569D">
      <w:pPr>
        <w:rPr>
          <w:rFonts w:ascii="Arial" w:hAnsi="Arial" w:cs="Arial"/>
          <w:sz w:val="24"/>
          <w:szCs w:val="24"/>
        </w:rPr>
      </w:pPr>
      <w:r w:rsidRPr="00AB569D">
        <w:rPr>
          <w:rFonts w:ascii="Arial" w:hAnsi="Arial" w:cs="Arial"/>
          <w:sz w:val="24"/>
          <w:szCs w:val="24"/>
        </w:rPr>
        <w:t>To the registrar of companies,</w:t>
      </w:r>
    </w:p>
    <w:p w14:paraId="6AC48C2C" w14:textId="77777777" w:rsidR="00AB569D" w:rsidRPr="00AB569D" w:rsidRDefault="00AB569D" w:rsidP="00AB569D">
      <w:pPr>
        <w:rPr>
          <w:rFonts w:ascii="Arial" w:hAnsi="Arial" w:cs="Arial"/>
          <w:sz w:val="24"/>
          <w:szCs w:val="24"/>
        </w:rPr>
      </w:pPr>
      <w:r w:rsidRPr="00AB569D">
        <w:rPr>
          <w:rFonts w:ascii="Arial" w:hAnsi="Arial" w:cs="Arial"/>
          <w:sz w:val="24"/>
          <w:szCs w:val="24"/>
        </w:rPr>
        <w:t xml:space="preserve">I, ....... of </w:t>
      </w:r>
      <w:proofErr w:type="gramStart"/>
      <w:r w:rsidRPr="00AB569D">
        <w:rPr>
          <w:rFonts w:ascii="Arial" w:hAnsi="Arial" w:cs="Arial"/>
          <w:sz w:val="24"/>
          <w:szCs w:val="24"/>
        </w:rPr>
        <w:t>....... ,</w:t>
      </w:r>
      <w:proofErr w:type="gramEnd"/>
      <w:r w:rsidRPr="00AB569D">
        <w:rPr>
          <w:rFonts w:ascii="Arial" w:hAnsi="Arial" w:cs="Arial"/>
          <w:sz w:val="24"/>
          <w:szCs w:val="24"/>
        </w:rPr>
        <w:t xml:space="preserve"> being the Liquidator of ....... Limited, </w:t>
      </w:r>
      <w:proofErr w:type="gramStart"/>
      <w:r w:rsidRPr="00AB569D">
        <w:rPr>
          <w:rFonts w:ascii="Arial" w:hAnsi="Arial" w:cs="Arial"/>
          <w:sz w:val="24"/>
          <w:szCs w:val="24"/>
        </w:rPr>
        <w:t>have to</w:t>
      </w:r>
      <w:proofErr w:type="gramEnd"/>
      <w:r w:rsidRPr="00AB569D">
        <w:rPr>
          <w:rFonts w:ascii="Arial" w:hAnsi="Arial" w:cs="Arial"/>
          <w:sz w:val="24"/>
          <w:szCs w:val="24"/>
        </w:rPr>
        <w:t xml:space="preserve"> inform you—</w:t>
      </w:r>
    </w:p>
    <w:p w14:paraId="11425F82" w14:textId="77777777" w:rsidR="00AB569D" w:rsidRPr="00AB569D" w:rsidRDefault="00AB569D" w:rsidP="00AB569D">
      <w:pPr>
        <w:rPr>
          <w:rFonts w:ascii="Arial" w:hAnsi="Arial" w:cs="Arial"/>
          <w:sz w:val="24"/>
          <w:szCs w:val="24"/>
        </w:rPr>
      </w:pPr>
      <w:r w:rsidRPr="00AB569D">
        <w:rPr>
          <w:rFonts w:ascii="Arial" w:hAnsi="Arial" w:cs="Arial"/>
          <w:sz w:val="24"/>
          <w:szCs w:val="24"/>
        </w:rPr>
        <w:t xml:space="preserve">(1) that a general meeting of the </w:t>
      </w:r>
      <w:proofErr w:type="gramStart"/>
      <w:r w:rsidRPr="00AB569D">
        <w:rPr>
          <w:rFonts w:ascii="Arial" w:hAnsi="Arial" w:cs="Arial"/>
          <w:sz w:val="24"/>
          <w:szCs w:val="24"/>
        </w:rPr>
        <w:t>above named</w:t>
      </w:r>
      <w:proofErr w:type="gramEnd"/>
      <w:r w:rsidRPr="00AB569D">
        <w:rPr>
          <w:rFonts w:ascii="Arial" w:hAnsi="Arial" w:cs="Arial"/>
          <w:sz w:val="24"/>
          <w:szCs w:val="24"/>
        </w:rPr>
        <w:t xml:space="preserve"> company was duly held on/summoned for (</w:t>
      </w:r>
      <w:r w:rsidRPr="00AB569D">
        <w:rPr>
          <w:rFonts w:ascii="Arial" w:hAnsi="Arial" w:cs="Arial"/>
          <w:i/>
          <w:iCs/>
          <w:sz w:val="24"/>
          <w:szCs w:val="24"/>
        </w:rPr>
        <w:t>a</w:t>
      </w:r>
      <w:r w:rsidRPr="00AB569D">
        <w:rPr>
          <w:rFonts w:ascii="Arial" w:hAnsi="Arial" w:cs="Arial"/>
          <w:sz w:val="24"/>
          <w:szCs w:val="24"/>
        </w:rPr>
        <w:t xml:space="preserve">) the ....... day of </w:t>
      </w:r>
      <w:proofErr w:type="gramStart"/>
      <w:r w:rsidRPr="00AB569D">
        <w:rPr>
          <w:rFonts w:ascii="Arial" w:hAnsi="Arial" w:cs="Arial"/>
          <w:sz w:val="24"/>
          <w:szCs w:val="24"/>
        </w:rPr>
        <w:t>....... ,</w:t>
      </w:r>
      <w:proofErr w:type="gramEnd"/>
      <w:r w:rsidRPr="00AB569D">
        <w:rPr>
          <w:rFonts w:ascii="Arial" w:hAnsi="Arial" w:cs="Arial"/>
          <w:sz w:val="24"/>
          <w:szCs w:val="24"/>
        </w:rPr>
        <w:t xml:space="preserve"> 20 ....... pursuant to section 706 of the Companies Act 2014 for the purpose of having an account (of which a copy is attached hereto) (</w:t>
      </w:r>
      <w:r w:rsidRPr="00AB569D">
        <w:rPr>
          <w:rFonts w:ascii="Arial" w:hAnsi="Arial" w:cs="Arial"/>
          <w:i/>
          <w:iCs/>
          <w:sz w:val="24"/>
          <w:szCs w:val="24"/>
        </w:rPr>
        <w:t>b</w:t>
      </w:r>
      <w:r w:rsidRPr="00AB569D">
        <w:rPr>
          <w:rFonts w:ascii="Arial" w:hAnsi="Arial" w:cs="Arial"/>
          <w:sz w:val="24"/>
          <w:szCs w:val="24"/>
        </w:rPr>
        <w:t>) laid before it showing how the winding up of the said company has been conducted and that the property of the said company has been disposed of, and that the same was done accordingly (</w:t>
      </w:r>
      <w:r w:rsidRPr="00AB569D">
        <w:rPr>
          <w:rFonts w:ascii="Arial" w:hAnsi="Arial" w:cs="Arial"/>
          <w:i/>
          <w:iCs/>
          <w:sz w:val="24"/>
          <w:szCs w:val="24"/>
        </w:rPr>
        <w:t>or </w:t>
      </w:r>
      <w:r w:rsidRPr="00AB569D">
        <w:rPr>
          <w:rFonts w:ascii="Arial" w:hAnsi="Arial" w:cs="Arial"/>
          <w:sz w:val="24"/>
          <w:szCs w:val="24"/>
        </w:rPr>
        <w:t>that no quorum was present at the meeting).</w:t>
      </w:r>
    </w:p>
    <w:p w14:paraId="3A56CAE1" w14:textId="77777777" w:rsidR="00AB569D" w:rsidRPr="00AB569D" w:rsidRDefault="00AB569D" w:rsidP="00AB569D">
      <w:pPr>
        <w:rPr>
          <w:rFonts w:ascii="Arial" w:hAnsi="Arial" w:cs="Arial"/>
          <w:sz w:val="24"/>
          <w:szCs w:val="24"/>
        </w:rPr>
      </w:pPr>
      <w:r w:rsidRPr="00AB569D">
        <w:rPr>
          <w:rFonts w:ascii="Arial" w:hAnsi="Arial" w:cs="Arial"/>
          <w:sz w:val="24"/>
          <w:szCs w:val="24"/>
        </w:rPr>
        <w:t>(2) that a meeting of the creditors of the said company was duly held on/summoned for (</w:t>
      </w:r>
      <w:r w:rsidRPr="00AB569D">
        <w:rPr>
          <w:rFonts w:ascii="Arial" w:hAnsi="Arial" w:cs="Arial"/>
          <w:i/>
          <w:iCs/>
          <w:sz w:val="24"/>
          <w:szCs w:val="24"/>
        </w:rPr>
        <w:t>a</w:t>
      </w:r>
      <w:r w:rsidRPr="00AB569D">
        <w:rPr>
          <w:rFonts w:ascii="Arial" w:hAnsi="Arial" w:cs="Arial"/>
          <w:sz w:val="24"/>
          <w:szCs w:val="24"/>
        </w:rPr>
        <w:t>) the ....... day of ....... , 20… pursuant to section 706 of the Companies Act 2014 for the purpose of having the said account laid before it showing how the winding up of the said company has been conducted and the property of the said company has been disposed of and that the same was done accordingly (</w:t>
      </w:r>
      <w:r w:rsidRPr="00AB569D">
        <w:rPr>
          <w:rFonts w:ascii="Arial" w:hAnsi="Arial" w:cs="Arial"/>
          <w:i/>
          <w:iCs/>
          <w:sz w:val="24"/>
          <w:szCs w:val="24"/>
        </w:rPr>
        <w:t>or </w:t>
      </w:r>
      <w:r w:rsidRPr="00AB569D">
        <w:rPr>
          <w:rFonts w:ascii="Arial" w:hAnsi="Arial" w:cs="Arial"/>
          <w:sz w:val="24"/>
          <w:szCs w:val="24"/>
        </w:rPr>
        <w:t>that no quorum was present at the meeting).</w:t>
      </w:r>
    </w:p>
    <w:p w14:paraId="2EB1EC9C" w14:textId="77777777" w:rsidR="00AB569D" w:rsidRPr="00AB569D" w:rsidRDefault="00AB569D" w:rsidP="00AB569D">
      <w:pPr>
        <w:rPr>
          <w:rFonts w:ascii="Arial" w:hAnsi="Arial" w:cs="Arial"/>
          <w:sz w:val="24"/>
          <w:szCs w:val="24"/>
        </w:rPr>
      </w:pPr>
      <w:r w:rsidRPr="00AB569D">
        <w:rPr>
          <w:rFonts w:ascii="Arial" w:hAnsi="Arial" w:cs="Arial"/>
          <w:sz w:val="24"/>
          <w:szCs w:val="24"/>
        </w:rPr>
        <w:t>Dated</w:t>
      </w:r>
    </w:p>
    <w:p w14:paraId="7ACEF276" w14:textId="77777777" w:rsidR="00AB569D" w:rsidRPr="00AB569D" w:rsidRDefault="00AB569D" w:rsidP="00AB569D">
      <w:pPr>
        <w:rPr>
          <w:rFonts w:ascii="Arial" w:hAnsi="Arial" w:cs="Arial"/>
          <w:sz w:val="24"/>
          <w:szCs w:val="24"/>
        </w:rPr>
      </w:pPr>
      <w:r w:rsidRPr="00AB569D">
        <w:rPr>
          <w:rFonts w:ascii="Arial" w:hAnsi="Arial" w:cs="Arial"/>
          <w:sz w:val="24"/>
          <w:szCs w:val="24"/>
        </w:rPr>
        <w:t>(Signed) ................. (</w:t>
      </w:r>
      <w:r w:rsidRPr="00AB569D">
        <w:rPr>
          <w:rFonts w:ascii="Arial" w:hAnsi="Arial" w:cs="Arial"/>
          <w:i/>
          <w:iCs/>
          <w:sz w:val="24"/>
          <w:szCs w:val="24"/>
        </w:rPr>
        <w:t>c</w:t>
      </w:r>
      <w:r w:rsidRPr="00AB569D">
        <w:rPr>
          <w:rFonts w:ascii="Arial" w:hAnsi="Arial" w:cs="Arial"/>
          <w:sz w:val="24"/>
          <w:szCs w:val="24"/>
        </w:rPr>
        <w:t>).</w:t>
      </w:r>
    </w:p>
    <w:p w14:paraId="7038983E" w14:textId="77777777" w:rsidR="00AB569D" w:rsidRPr="00AB569D" w:rsidRDefault="00AB569D" w:rsidP="00AB569D">
      <w:pPr>
        <w:rPr>
          <w:rFonts w:ascii="Arial" w:hAnsi="Arial" w:cs="Arial"/>
          <w:sz w:val="24"/>
          <w:szCs w:val="24"/>
        </w:rPr>
      </w:pPr>
      <w:r w:rsidRPr="00AB569D">
        <w:rPr>
          <w:rFonts w:ascii="Arial" w:hAnsi="Arial" w:cs="Arial"/>
          <w:sz w:val="24"/>
          <w:szCs w:val="24"/>
        </w:rPr>
        <w:t>Liquidator.</w:t>
      </w:r>
    </w:p>
    <w:p w14:paraId="46357AA2" w14:textId="77777777" w:rsidR="00AB569D" w:rsidRPr="00AB569D" w:rsidRDefault="00AB569D" w:rsidP="00AB569D">
      <w:pPr>
        <w:rPr>
          <w:rFonts w:ascii="Arial" w:hAnsi="Arial" w:cs="Arial"/>
          <w:sz w:val="24"/>
          <w:szCs w:val="24"/>
        </w:rPr>
      </w:pPr>
      <w:r w:rsidRPr="00AB569D">
        <w:rPr>
          <w:rFonts w:ascii="Arial" w:hAnsi="Arial" w:cs="Arial"/>
          <w:sz w:val="24"/>
          <w:szCs w:val="24"/>
        </w:rPr>
        <w:t>(a) Strike out that which does not apply.</w:t>
      </w:r>
    </w:p>
    <w:p w14:paraId="0CAE794A" w14:textId="77777777" w:rsidR="00AB569D" w:rsidRPr="00AB569D" w:rsidRDefault="00AB569D" w:rsidP="00AB569D">
      <w:pPr>
        <w:rPr>
          <w:rFonts w:ascii="Arial" w:hAnsi="Arial" w:cs="Arial"/>
          <w:sz w:val="24"/>
          <w:szCs w:val="24"/>
        </w:rPr>
      </w:pPr>
      <w:r w:rsidRPr="00AB569D">
        <w:rPr>
          <w:rFonts w:ascii="Arial" w:hAnsi="Arial" w:cs="Arial"/>
          <w:sz w:val="24"/>
          <w:szCs w:val="24"/>
        </w:rPr>
        <w:t>(b) The copy account accompanying this return must be authenticated by the signature of the Liquidator.</w:t>
      </w:r>
    </w:p>
    <w:p w14:paraId="1C6FB698" w14:textId="77777777" w:rsidR="00AB569D" w:rsidRPr="00AB569D" w:rsidRDefault="00AB569D" w:rsidP="00AB569D">
      <w:pPr>
        <w:rPr>
          <w:rFonts w:ascii="Arial" w:hAnsi="Arial" w:cs="Arial"/>
          <w:sz w:val="24"/>
          <w:szCs w:val="24"/>
        </w:rPr>
      </w:pPr>
      <w:r w:rsidRPr="00AB569D">
        <w:rPr>
          <w:rFonts w:ascii="Arial" w:hAnsi="Arial" w:cs="Arial"/>
          <w:sz w:val="24"/>
          <w:szCs w:val="24"/>
        </w:rPr>
        <w:lastRenderedPageBreak/>
        <w:t>(c) To be signed by each Liquidator if more than one.</w:t>
      </w:r>
    </w:p>
    <w:p w14:paraId="04BCAD3B" w14:textId="77777777" w:rsidR="00AB569D" w:rsidRPr="00AB569D" w:rsidRDefault="00AB569D" w:rsidP="00AB569D">
      <w:pPr>
        <w:rPr>
          <w:rFonts w:ascii="Arial" w:hAnsi="Arial" w:cs="Arial"/>
          <w:sz w:val="24"/>
          <w:szCs w:val="24"/>
        </w:rPr>
      </w:pPr>
      <w:r w:rsidRPr="00AB569D">
        <w:rPr>
          <w:rFonts w:ascii="Arial" w:hAnsi="Arial" w:cs="Arial"/>
          <w:sz w:val="24"/>
          <w:szCs w:val="24"/>
        </w:rPr>
        <w:t> </w:t>
      </w:r>
    </w:p>
    <w:p w14:paraId="554E52E6" w14:textId="77777777" w:rsidR="00AB569D" w:rsidRPr="00AB569D" w:rsidRDefault="00AB569D" w:rsidP="00AB569D">
      <w:pPr>
        <w:rPr>
          <w:rFonts w:ascii="Arial" w:hAnsi="Arial" w:cs="Arial"/>
          <w:sz w:val="24"/>
          <w:szCs w:val="24"/>
        </w:rPr>
      </w:pPr>
      <w:r w:rsidRPr="00AB569D">
        <w:rPr>
          <w:rFonts w:ascii="Arial" w:hAnsi="Arial" w:cs="Arial"/>
          <w:i/>
          <w:iCs/>
          <w:sz w:val="24"/>
          <w:szCs w:val="24"/>
        </w:rPr>
        <w:t>Substituted by </w:t>
      </w:r>
      <w:hyperlink r:id="rId4" w:history="1">
        <w:r w:rsidRPr="00AB569D">
          <w:rPr>
            <w:rStyle w:val="Hyperlink"/>
            <w:rFonts w:ascii="Arial" w:hAnsi="Arial" w:cs="Arial"/>
            <w:sz w:val="24"/>
            <w:szCs w:val="24"/>
          </w:rPr>
          <w:t>SI 255 of 2015</w:t>
        </w:r>
      </w:hyperlink>
      <w:r w:rsidRPr="00AB569D">
        <w:rPr>
          <w:rFonts w:ascii="Arial" w:hAnsi="Arial" w:cs="Arial"/>
          <w:i/>
          <w:iCs/>
          <w:sz w:val="24"/>
          <w:szCs w:val="24"/>
        </w:rPr>
        <w:t>, effective 1 July 2015.</w:t>
      </w:r>
    </w:p>
    <w:p w14:paraId="1A03D00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9D"/>
    <w:rsid w:val="00003D64"/>
    <w:rsid w:val="001F1D35"/>
    <w:rsid w:val="00221481"/>
    <w:rsid w:val="003625E7"/>
    <w:rsid w:val="00492DF5"/>
    <w:rsid w:val="004F13AF"/>
    <w:rsid w:val="00914DED"/>
    <w:rsid w:val="00AB569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A83B"/>
  <w15:chartTrackingRefBased/>
  <w15:docId w15:val="{76403761-75AF-499E-BBFB-FA0F4056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B569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B569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B569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B569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B569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B5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9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B569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B569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B569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B569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B5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9D"/>
    <w:rPr>
      <w:rFonts w:eastAsiaTheme="majorEastAsia" w:cstheme="majorBidi"/>
      <w:color w:val="272727" w:themeColor="text1" w:themeTint="D8"/>
    </w:rPr>
  </w:style>
  <w:style w:type="paragraph" w:styleId="Title">
    <w:name w:val="Title"/>
    <w:basedOn w:val="Normal"/>
    <w:next w:val="Normal"/>
    <w:link w:val="TitleChar"/>
    <w:uiPriority w:val="10"/>
    <w:qFormat/>
    <w:rsid w:val="00AB5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9D"/>
    <w:pPr>
      <w:spacing w:before="160"/>
      <w:jc w:val="center"/>
    </w:pPr>
    <w:rPr>
      <w:i/>
      <w:iCs/>
      <w:color w:val="404040" w:themeColor="text1" w:themeTint="BF"/>
    </w:rPr>
  </w:style>
  <w:style w:type="character" w:customStyle="1" w:styleId="QuoteChar">
    <w:name w:val="Quote Char"/>
    <w:basedOn w:val="DefaultParagraphFont"/>
    <w:link w:val="Quote"/>
    <w:uiPriority w:val="29"/>
    <w:rsid w:val="00AB569D"/>
    <w:rPr>
      <w:i/>
      <w:iCs/>
      <w:color w:val="404040" w:themeColor="text1" w:themeTint="BF"/>
    </w:rPr>
  </w:style>
  <w:style w:type="paragraph" w:styleId="ListParagraph">
    <w:name w:val="List Paragraph"/>
    <w:basedOn w:val="Normal"/>
    <w:uiPriority w:val="34"/>
    <w:qFormat/>
    <w:rsid w:val="00AB569D"/>
    <w:pPr>
      <w:ind w:left="720"/>
      <w:contextualSpacing/>
    </w:pPr>
  </w:style>
  <w:style w:type="character" w:styleId="IntenseEmphasis">
    <w:name w:val="Intense Emphasis"/>
    <w:basedOn w:val="DefaultParagraphFont"/>
    <w:uiPriority w:val="21"/>
    <w:qFormat/>
    <w:rsid w:val="00AB569D"/>
    <w:rPr>
      <w:i/>
      <w:iCs/>
      <w:color w:val="005383" w:themeColor="accent1" w:themeShade="BF"/>
    </w:rPr>
  </w:style>
  <w:style w:type="paragraph" w:styleId="IntenseQuote">
    <w:name w:val="Intense Quote"/>
    <w:basedOn w:val="Normal"/>
    <w:next w:val="Normal"/>
    <w:link w:val="IntenseQuoteChar"/>
    <w:uiPriority w:val="30"/>
    <w:qFormat/>
    <w:rsid w:val="00AB569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B569D"/>
    <w:rPr>
      <w:i/>
      <w:iCs/>
      <w:color w:val="005383" w:themeColor="accent1" w:themeShade="BF"/>
    </w:rPr>
  </w:style>
  <w:style w:type="character" w:styleId="IntenseReference">
    <w:name w:val="Intense Reference"/>
    <w:basedOn w:val="DefaultParagraphFont"/>
    <w:uiPriority w:val="32"/>
    <w:qFormat/>
    <w:rsid w:val="00AB569D"/>
    <w:rPr>
      <w:b/>
      <w:bCs/>
      <w:smallCaps/>
      <w:color w:val="005383" w:themeColor="accent1" w:themeShade="BF"/>
      <w:spacing w:val="5"/>
    </w:rPr>
  </w:style>
  <w:style w:type="character" w:styleId="Hyperlink">
    <w:name w:val="Hyperlink"/>
    <w:basedOn w:val="DefaultParagraphFont"/>
    <w:uiPriority w:val="99"/>
    <w:unhideWhenUsed/>
    <w:rsid w:val="00AB569D"/>
    <w:rPr>
      <w:color w:val="003657" w:themeColor="hyperlink"/>
      <w:u w:val="single"/>
    </w:rPr>
  </w:style>
  <w:style w:type="character" w:styleId="UnresolvedMention">
    <w:name w:val="Unresolved Mention"/>
    <w:basedOn w:val="DefaultParagraphFont"/>
    <w:uiPriority w:val="99"/>
    <w:semiHidden/>
    <w:unhideWhenUsed/>
    <w:rsid w:val="00AB5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5995">
      <w:bodyDiv w:val="1"/>
      <w:marLeft w:val="0"/>
      <w:marRight w:val="0"/>
      <w:marTop w:val="0"/>
      <w:marBottom w:val="0"/>
      <w:divBdr>
        <w:top w:val="none" w:sz="0" w:space="0" w:color="auto"/>
        <w:left w:val="none" w:sz="0" w:space="0" w:color="auto"/>
        <w:bottom w:val="none" w:sz="0" w:space="0" w:color="auto"/>
        <w:right w:val="none" w:sz="0" w:space="0" w:color="auto"/>
      </w:divBdr>
    </w:div>
    <w:div w:id="20147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2026-01-28T11:22:00Z</dcterms:created>
  <dcterms:modified xsi:type="dcterms:W3CDTF">2026-01-28T11:22:00Z</dcterms:modified>
</cp:coreProperties>
</file>