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2BBE" w14:textId="77777777" w:rsidR="0073137F" w:rsidRPr="00FA0025" w:rsidRDefault="00501D66" w:rsidP="00FA0025">
      <w:pPr>
        <w:spacing w:line="360" w:lineRule="auto"/>
        <w:jc w:val="both"/>
        <w:rPr>
          <w:rFonts w:ascii="Verdana" w:hAnsi="Verdana"/>
          <w:lang w:val="en-GB"/>
        </w:rPr>
      </w:pPr>
      <w:r w:rsidRPr="00FA0025">
        <w:rPr>
          <w:rFonts w:ascii="Verdana" w:hAnsi="Verdana" w:cs="Times New Roman"/>
          <w:noProof/>
        </w:rPr>
        <w:drawing>
          <wp:anchor distT="0" distB="0" distL="114300" distR="114300" simplePos="0" relativeHeight="251659264" behindDoc="1" locked="0" layoutInCell="1" allowOverlap="1" wp14:anchorId="4FA369C7" wp14:editId="4B1DDA33">
            <wp:simplePos x="0" y="0"/>
            <wp:positionH relativeFrom="page">
              <wp:align>center</wp:align>
            </wp:positionH>
            <wp:positionV relativeFrom="paragraph">
              <wp:posOffset>-914399</wp:posOffset>
            </wp:positionV>
            <wp:extent cx="2304000" cy="13824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r_Court_Wide_2Co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4000" cy="1382400"/>
                    </a:xfrm>
                    <a:prstGeom prst="rect">
                      <a:avLst/>
                    </a:prstGeom>
                  </pic:spPr>
                </pic:pic>
              </a:graphicData>
            </a:graphic>
            <wp14:sizeRelH relativeFrom="page">
              <wp14:pctWidth>0</wp14:pctWidth>
            </wp14:sizeRelH>
            <wp14:sizeRelV relativeFrom="page">
              <wp14:pctHeight>0</wp14:pctHeight>
            </wp14:sizeRelV>
          </wp:anchor>
        </w:drawing>
      </w:r>
    </w:p>
    <w:p w14:paraId="25FACA9A" w14:textId="77777777" w:rsidR="0073137F" w:rsidRPr="00FA0025" w:rsidRDefault="0073137F" w:rsidP="00FA0025">
      <w:pPr>
        <w:spacing w:line="360" w:lineRule="auto"/>
        <w:jc w:val="both"/>
        <w:rPr>
          <w:rFonts w:ascii="Verdana" w:hAnsi="Verdana"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4546"/>
      </w:tblGrid>
      <w:tr w:rsidR="00E904FC" w:rsidRPr="00FA0025" w14:paraId="792EDDAF" w14:textId="77777777" w:rsidTr="00FA0C73">
        <w:trPr>
          <w:jc w:val="center"/>
        </w:trPr>
        <w:tc>
          <w:tcPr>
            <w:tcW w:w="9016" w:type="dxa"/>
            <w:gridSpan w:val="2"/>
            <w:vAlign w:val="center"/>
          </w:tcPr>
          <w:p w14:paraId="3012570F" w14:textId="77777777" w:rsidR="00E904FC" w:rsidRDefault="00AB5DE6" w:rsidP="00076676">
            <w:pPr>
              <w:spacing w:line="360" w:lineRule="auto"/>
              <w:contextualSpacing/>
              <w:jc w:val="center"/>
              <w:rPr>
                <w:rFonts w:ascii="Verdana" w:hAnsi="Verdana" w:cstheme="minorHAnsi"/>
                <w:b/>
                <w:bCs/>
              </w:rPr>
            </w:pPr>
            <w:r w:rsidRPr="00FA0025">
              <w:rPr>
                <w:rFonts w:ascii="Verdana" w:hAnsi="Verdana" w:cstheme="minorHAnsi"/>
                <w:b/>
                <w:bCs/>
              </w:rPr>
              <w:t>RULE OF LAW IN THE CJEU: 2025 CASES</w:t>
            </w:r>
          </w:p>
          <w:p w14:paraId="213B40BA" w14:textId="6FC6FB0A" w:rsidR="00484E3F" w:rsidRPr="00FA0025" w:rsidRDefault="00484E3F" w:rsidP="00076676">
            <w:pPr>
              <w:spacing w:line="360" w:lineRule="auto"/>
              <w:contextualSpacing/>
              <w:jc w:val="center"/>
              <w:rPr>
                <w:rFonts w:ascii="Verdana" w:hAnsi="Verdana" w:cstheme="minorHAnsi"/>
                <w:b/>
                <w:bCs/>
              </w:rPr>
            </w:pPr>
          </w:p>
        </w:tc>
      </w:tr>
      <w:tr w:rsidR="00E904FC" w:rsidRPr="00FA0025" w14:paraId="6A6AD9C5" w14:textId="77777777" w:rsidTr="00FA0C73">
        <w:trPr>
          <w:jc w:val="center"/>
        </w:trPr>
        <w:tc>
          <w:tcPr>
            <w:tcW w:w="9016" w:type="dxa"/>
            <w:gridSpan w:val="2"/>
            <w:vAlign w:val="center"/>
          </w:tcPr>
          <w:p w14:paraId="57842AC6" w14:textId="77777777" w:rsidR="00484E3F" w:rsidRDefault="00784848" w:rsidP="00FA0C73">
            <w:pPr>
              <w:spacing w:line="360" w:lineRule="auto"/>
              <w:jc w:val="center"/>
              <w:rPr>
                <w:rFonts w:ascii="Verdana" w:hAnsi="Verdana" w:cs="Times New Roman"/>
                <w:b/>
                <w:bCs/>
              </w:rPr>
            </w:pPr>
            <w:r w:rsidRPr="00FA0025">
              <w:rPr>
                <w:rFonts w:ascii="Verdana" w:hAnsi="Verdana" w:cstheme="minorHAnsi"/>
                <w:b/>
                <w:bCs/>
              </w:rPr>
              <w:t xml:space="preserve">Delivered by </w:t>
            </w:r>
            <w:r w:rsidR="00484E3F">
              <w:rPr>
                <w:rFonts w:ascii="Verdana" w:hAnsi="Verdana" w:cstheme="minorHAnsi"/>
                <w:b/>
                <w:bCs/>
              </w:rPr>
              <w:t>Mr Justice</w:t>
            </w:r>
            <w:r w:rsidR="00CF6167" w:rsidRPr="00FA0025">
              <w:rPr>
                <w:rFonts w:ascii="Verdana" w:hAnsi="Verdana" w:cstheme="minorHAnsi"/>
                <w:b/>
                <w:bCs/>
              </w:rPr>
              <w:t xml:space="preserve"> </w:t>
            </w:r>
            <w:r w:rsidR="00C60E47" w:rsidRPr="00FA0025">
              <w:rPr>
                <w:rFonts w:ascii="Verdana" w:hAnsi="Verdana" w:cs="Times New Roman"/>
                <w:b/>
                <w:bCs/>
              </w:rPr>
              <w:t>Brian Murray</w:t>
            </w:r>
            <w:r w:rsidR="00C60E47" w:rsidRPr="00FA0025">
              <w:rPr>
                <w:rStyle w:val="FootnoteReference"/>
                <w:rFonts w:ascii="Verdana" w:hAnsi="Verdana" w:cs="Times New Roman"/>
                <w:b/>
                <w:bCs/>
              </w:rPr>
              <w:footnoteReference w:id="1"/>
            </w:r>
            <w:r w:rsidR="003D136E" w:rsidRPr="00FA0025">
              <w:rPr>
                <w:rFonts w:ascii="Verdana" w:hAnsi="Verdana" w:cs="Times New Roman"/>
                <w:b/>
                <w:bCs/>
              </w:rPr>
              <w:t xml:space="preserve"> </w:t>
            </w:r>
          </w:p>
          <w:p w14:paraId="15FB72AB" w14:textId="26F26FBE" w:rsidR="00E904FC" w:rsidRPr="00484E3F" w:rsidRDefault="00A63B18" w:rsidP="00484E3F">
            <w:pPr>
              <w:spacing w:line="360" w:lineRule="auto"/>
              <w:jc w:val="center"/>
              <w:rPr>
                <w:rFonts w:ascii="Verdana" w:hAnsi="Verdana" w:cs="Times New Roman"/>
                <w:b/>
                <w:bCs/>
              </w:rPr>
            </w:pPr>
            <w:r w:rsidRPr="00FA0025">
              <w:rPr>
                <w:rFonts w:ascii="Verdana" w:hAnsi="Verdana" w:cstheme="minorHAnsi"/>
                <w:b/>
                <w:bCs/>
              </w:rPr>
              <w:t>at</w:t>
            </w:r>
            <w:r w:rsidR="00567008" w:rsidRPr="00FA0025">
              <w:rPr>
                <w:rFonts w:ascii="Verdana" w:hAnsi="Verdana" w:cstheme="minorHAnsi"/>
                <w:b/>
                <w:bCs/>
              </w:rPr>
              <w:t xml:space="preserve"> Irish Centre for European Law’s Review of the CJEU in 2025 conference</w:t>
            </w:r>
            <w:r w:rsidR="00484E3F">
              <w:rPr>
                <w:rFonts w:ascii="Verdana" w:hAnsi="Verdana" w:cstheme="minorHAnsi"/>
                <w:b/>
                <w:bCs/>
              </w:rPr>
              <w:t xml:space="preserve"> in</w:t>
            </w:r>
            <w:r w:rsidR="00784848" w:rsidRPr="00FA0025">
              <w:rPr>
                <w:rFonts w:ascii="Verdana" w:hAnsi="Verdana" w:cstheme="minorHAnsi"/>
                <w:b/>
                <w:bCs/>
              </w:rPr>
              <w:t xml:space="preserve"> </w:t>
            </w:r>
            <w:r w:rsidR="0067024F" w:rsidRPr="00FA0025">
              <w:rPr>
                <w:rFonts w:ascii="Verdana" w:hAnsi="Verdana" w:cstheme="minorHAnsi"/>
                <w:b/>
                <w:bCs/>
              </w:rPr>
              <w:t xml:space="preserve">Chartered Accountants House, Pearse Street, Dublin </w:t>
            </w:r>
            <w:r w:rsidR="00784848" w:rsidRPr="00FA0025">
              <w:rPr>
                <w:rFonts w:ascii="Verdana" w:hAnsi="Verdana" w:cstheme="minorHAnsi"/>
                <w:b/>
                <w:bCs/>
              </w:rPr>
              <w:t xml:space="preserve">on </w:t>
            </w:r>
            <w:r w:rsidR="00065EED" w:rsidRPr="00FA0025">
              <w:rPr>
                <w:rFonts w:ascii="Verdana" w:hAnsi="Verdana" w:cstheme="minorHAnsi"/>
                <w:b/>
                <w:bCs/>
              </w:rPr>
              <w:t>5</w:t>
            </w:r>
            <w:r w:rsidR="00F665EA" w:rsidRPr="00FA0025">
              <w:rPr>
                <w:rFonts w:ascii="Verdana" w:hAnsi="Verdana" w:cstheme="minorHAnsi"/>
                <w:b/>
                <w:bCs/>
              </w:rPr>
              <w:t xml:space="preserve"> </w:t>
            </w:r>
            <w:r w:rsidR="00D9161B" w:rsidRPr="00FA0025">
              <w:rPr>
                <w:rFonts w:ascii="Verdana" w:hAnsi="Verdana" w:cstheme="minorHAnsi"/>
                <w:b/>
                <w:bCs/>
              </w:rPr>
              <w:t>February</w:t>
            </w:r>
            <w:r w:rsidR="00F665EA" w:rsidRPr="00FA0025">
              <w:rPr>
                <w:rFonts w:ascii="Verdana" w:hAnsi="Verdana" w:cstheme="minorHAnsi"/>
                <w:b/>
                <w:bCs/>
              </w:rPr>
              <w:t xml:space="preserve"> 20</w:t>
            </w:r>
            <w:r w:rsidR="00D9161B" w:rsidRPr="00FA0025">
              <w:rPr>
                <w:rFonts w:ascii="Verdana" w:hAnsi="Verdana" w:cstheme="minorHAnsi"/>
                <w:b/>
                <w:bCs/>
              </w:rPr>
              <w:t>25</w:t>
            </w:r>
          </w:p>
        </w:tc>
      </w:tr>
      <w:tr w:rsidR="001B3E7F" w:rsidRPr="00FA0025" w14:paraId="179343D5" w14:textId="77777777" w:rsidTr="00FA0C73">
        <w:trPr>
          <w:jc w:val="center"/>
        </w:trPr>
        <w:tc>
          <w:tcPr>
            <w:tcW w:w="4470" w:type="dxa"/>
            <w:vAlign w:val="center"/>
          </w:tcPr>
          <w:p w14:paraId="203137A1" w14:textId="6095EC80" w:rsidR="001B3E7F" w:rsidRPr="00FA0025" w:rsidRDefault="001B3E7F" w:rsidP="00FA0025">
            <w:pPr>
              <w:spacing w:line="360" w:lineRule="auto"/>
              <w:contextualSpacing/>
              <w:jc w:val="both"/>
              <w:rPr>
                <w:rFonts w:ascii="Verdana" w:hAnsi="Verdana" w:cstheme="minorHAnsi"/>
                <w:b/>
                <w:bCs/>
              </w:rPr>
            </w:pPr>
          </w:p>
        </w:tc>
        <w:tc>
          <w:tcPr>
            <w:tcW w:w="4546" w:type="dxa"/>
            <w:vAlign w:val="center"/>
          </w:tcPr>
          <w:p w14:paraId="1B2FE5E5" w14:textId="679E5D6E" w:rsidR="001B3E7F" w:rsidRPr="00FA0025" w:rsidRDefault="001B3E7F" w:rsidP="00FA0025">
            <w:pPr>
              <w:spacing w:line="360" w:lineRule="auto"/>
              <w:contextualSpacing/>
              <w:jc w:val="both"/>
              <w:rPr>
                <w:rFonts w:ascii="Verdana" w:hAnsi="Verdana" w:cstheme="minorHAnsi"/>
                <w:b/>
                <w:bCs/>
              </w:rPr>
            </w:pPr>
          </w:p>
        </w:tc>
      </w:tr>
    </w:tbl>
    <w:p w14:paraId="24248B7B" w14:textId="77777777" w:rsidR="000F3D5B" w:rsidRPr="00FA0025" w:rsidRDefault="000F3D5B" w:rsidP="00FA0025">
      <w:pPr>
        <w:spacing w:line="360" w:lineRule="auto"/>
        <w:contextualSpacing/>
        <w:jc w:val="both"/>
        <w:rPr>
          <w:rFonts w:ascii="Verdana" w:hAnsi="Verdana" w:cstheme="minorHAnsi"/>
          <w:b/>
          <w:bCs/>
        </w:rPr>
      </w:pPr>
    </w:p>
    <w:p w14:paraId="5AC367D8"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The Court of Justice of the European Union’s (</w:t>
      </w:r>
      <w:r w:rsidRPr="00FA0025">
        <w:rPr>
          <w:rFonts w:ascii="Verdana" w:hAnsi="Verdana"/>
          <w:i/>
          <w:iCs/>
          <w:sz w:val="22"/>
        </w:rPr>
        <w:t>‘CJEU’</w:t>
      </w:r>
      <w:r w:rsidRPr="00FA0025">
        <w:rPr>
          <w:rFonts w:ascii="Verdana" w:hAnsi="Verdana"/>
          <w:sz w:val="22"/>
        </w:rPr>
        <w:t>) ‘</w:t>
      </w:r>
      <w:r w:rsidRPr="00FA0025">
        <w:rPr>
          <w:rFonts w:ascii="Verdana" w:hAnsi="Verdana"/>
          <w:i/>
          <w:iCs/>
          <w:sz w:val="22"/>
        </w:rPr>
        <w:t xml:space="preserve">Rule of Law’ </w:t>
      </w:r>
      <w:r w:rsidRPr="00FA0025">
        <w:rPr>
          <w:rFonts w:ascii="Verdana" w:hAnsi="Verdana"/>
          <w:sz w:val="22"/>
        </w:rPr>
        <w:t xml:space="preserve">cases now form a dense block of jurisprudence. It has been only recently compacted. Rapidly developed during the Polish Rule of Law crises (although, in fact, initiated by the </w:t>
      </w:r>
      <w:r w:rsidRPr="00FA0025">
        <w:rPr>
          <w:rFonts w:ascii="Verdana" w:hAnsi="Verdana"/>
          <w:i/>
          <w:iCs/>
          <w:sz w:val="22"/>
        </w:rPr>
        <w:t>Portuguese Judges Case</w:t>
      </w:r>
      <w:r w:rsidRPr="00FA0025">
        <w:rPr>
          <w:rStyle w:val="FootnoteReference"/>
          <w:rFonts w:ascii="Verdana" w:hAnsi="Verdana"/>
          <w:sz w:val="22"/>
        </w:rPr>
        <w:footnoteReference w:id="2"/>
      </w:r>
      <w:r w:rsidRPr="00FA0025">
        <w:rPr>
          <w:rFonts w:ascii="Verdana" w:hAnsi="Verdana"/>
          <w:sz w:val="22"/>
        </w:rPr>
        <w:t xml:space="preserve">), by the start of 2025, eight principles had emerged from the cases: </w:t>
      </w:r>
    </w:p>
    <w:p w14:paraId="1573ADBA" w14:textId="77777777" w:rsidR="009F1295" w:rsidRPr="00FA0025" w:rsidRDefault="009F1295" w:rsidP="00FA0025">
      <w:pPr>
        <w:pStyle w:val="ListParagraph"/>
        <w:spacing w:after="0" w:line="360" w:lineRule="auto"/>
        <w:rPr>
          <w:rFonts w:ascii="Verdana" w:hAnsi="Verdana"/>
          <w:sz w:val="22"/>
        </w:rPr>
      </w:pPr>
    </w:p>
    <w:p w14:paraId="11DC6D66" w14:textId="77777777" w:rsidR="009F1295" w:rsidRPr="00FA0025" w:rsidRDefault="009F1295" w:rsidP="00FA0025">
      <w:pPr>
        <w:pStyle w:val="ListParagraph"/>
        <w:numPr>
          <w:ilvl w:val="0"/>
          <w:numId w:val="4"/>
        </w:numPr>
        <w:spacing w:after="0" w:line="360" w:lineRule="auto"/>
        <w:ind w:right="0"/>
        <w:rPr>
          <w:rFonts w:ascii="Verdana" w:hAnsi="Verdana"/>
          <w:sz w:val="22"/>
        </w:rPr>
      </w:pPr>
      <w:r w:rsidRPr="00FA0025">
        <w:rPr>
          <w:rFonts w:ascii="Verdana" w:hAnsi="Verdana"/>
          <w:sz w:val="22"/>
        </w:rPr>
        <w:t>The combined effect of Article 2 of the Treaty on European Union (‘</w:t>
      </w:r>
      <w:r w:rsidRPr="00FA0025">
        <w:rPr>
          <w:rFonts w:ascii="Verdana" w:hAnsi="Verdana"/>
          <w:i/>
          <w:iCs/>
          <w:sz w:val="22"/>
        </w:rPr>
        <w:t>TEU</w:t>
      </w:r>
      <w:r w:rsidRPr="00FA0025">
        <w:rPr>
          <w:rFonts w:ascii="Verdana" w:hAnsi="Verdana"/>
          <w:sz w:val="22"/>
        </w:rPr>
        <w:t>’), and Article 19 TEU is to require that the Member States ensure that courts or tribunals capable of ruling on matters in the field of EU law meet essential guarantees of independence.</w:t>
      </w:r>
      <w:r w:rsidRPr="00FA0025">
        <w:rPr>
          <w:rStyle w:val="FootnoteReference"/>
          <w:rFonts w:ascii="Verdana" w:hAnsi="Verdana"/>
          <w:sz w:val="22"/>
        </w:rPr>
        <w:footnoteReference w:id="3"/>
      </w:r>
      <w:r w:rsidRPr="00FA0025">
        <w:rPr>
          <w:rFonts w:ascii="Verdana" w:hAnsi="Verdana"/>
          <w:sz w:val="22"/>
        </w:rPr>
        <w:t xml:space="preserve"> Where they apply, similar guarantees have been extrapolated from Article 47 of the Charter of Fundamental Rights of the European Union (</w:t>
      </w:r>
      <w:r w:rsidRPr="00FA0025">
        <w:rPr>
          <w:rFonts w:ascii="Verdana" w:hAnsi="Verdana"/>
          <w:i/>
          <w:iCs/>
          <w:sz w:val="22"/>
        </w:rPr>
        <w:t>‘CFR’</w:t>
      </w:r>
      <w:r w:rsidRPr="00FA0025">
        <w:rPr>
          <w:rFonts w:ascii="Verdana" w:hAnsi="Verdana"/>
          <w:sz w:val="22"/>
        </w:rPr>
        <w:t>) and Article 267 of the Treaty on the Functioning of the European Union (</w:t>
      </w:r>
      <w:r w:rsidRPr="00FA0025">
        <w:rPr>
          <w:rFonts w:ascii="Verdana" w:hAnsi="Verdana"/>
          <w:i/>
          <w:iCs/>
          <w:sz w:val="22"/>
        </w:rPr>
        <w:t>‘TFEU’</w:t>
      </w:r>
      <w:r w:rsidRPr="00FA0025">
        <w:rPr>
          <w:rFonts w:ascii="Verdana" w:hAnsi="Verdana"/>
          <w:sz w:val="22"/>
        </w:rPr>
        <w:t>). This ‘</w:t>
      </w:r>
      <w:r w:rsidRPr="00FA0025">
        <w:rPr>
          <w:rFonts w:ascii="Verdana" w:hAnsi="Verdana"/>
          <w:i/>
          <w:iCs/>
          <w:sz w:val="22"/>
        </w:rPr>
        <w:t xml:space="preserve">independence’ </w:t>
      </w:r>
      <w:r w:rsidRPr="00FA0025">
        <w:rPr>
          <w:rFonts w:ascii="Verdana" w:hAnsi="Verdana"/>
          <w:sz w:val="22"/>
        </w:rPr>
        <w:t>has an ‘</w:t>
      </w:r>
      <w:r w:rsidRPr="00FA0025">
        <w:rPr>
          <w:rFonts w:ascii="Verdana" w:hAnsi="Verdana"/>
          <w:i/>
          <w:iCs/>
          <w:sz w:val="22"/>
        </w:rPr>
        <w:t>external’</w:t>
      </w:r>
      <w:r w:rsidRPr="00FA0025">
        <w:rPr>
          <w:rStyle w:val="FootnoteReference"/>
          <w:rFonts w:ascii="Verdana" w:hAnsi="Verdana"/>
          <w:sz w:val="22"/>
        </w:rPr>
        <w:footnoteReference w:id="4"/>
      </w:r>
      <w:r w:rsidRPr="00FA0025">
        <w:rPr>
          <w:rFonts w:ascii="Verdana" w:hAnsi="Verdana"/>
          <w:sz w:val="22"/>
        </w:rPr>
        <w:t xml:space="preserve"> and an ‘</w:t>
      </w:r>
      <w:r w:rsidRPr="00FA0025">
        <w:rPr>
          <w:rFonts w:ascii="Verdana" w:hAnsi="Verdana"/>
          <w:i/>
          <w:iCs/>
          <w:sz w:val="22"/>
        </w:rPr>
        <w:t xml:space="preserve">internal’ </w:t>
      </w:r>
      <w:r w:rsidRPr="00FA0025">
        <w:rPr>
          <w:rFonts w:ascii="Verdana" w:hAnsi="Verdana"/>
          <w:sz w:val="22"/>
        </w:rPr>
        <w:t>aspect.</w:t>
      </w:r>
      <w:r w:rsidRPr="00FA0025">
        <w:rPr>
          <w:rStyle w:val="FootnoteReference"/>
          <w:rFonts w:ascii="Verdana" w:hAnsi="Verdana"/>
          <w:sz w:val="22"/>
        </w:rPr>
        <w:footnoteReference w:id="5"/>
      </w:r>
    </w:p>
    <w:p w14:paraId="505D97B4" w14:textId="77777777" w:rsidR="009F1295" w:rsidRPr="00FA0025" w:rsidRDefault="009F1295" w:rsidP="00FA0025">
      <w:pPr>
        <w:pStyle w:val="ListParagraph"/>
        <w:spacing w:after="0" w:line="360" w:lineRule="auto"/>
        <w:ind w:left="1440"/>
        <w:rPr>
          <w:rFonts w:ascii="Verdana" w:hAnsi="Verdana"/>
          <w:sz w:val="22"/>
        </w:rPr>
      </w:pPr>
      <w:r w:rsidRPr="00FA0025">
        <w:rPr>
          <w:rFonts w:ascii="Verdana" w:hAnsi="Verdana"/>
          <w:sz w:val="22"/>
        </w:rPr>
        <w:t xml:space="preserve"> </w:t>
      </w:r>
    </w:p>
    <w:p w14:paraId="3191B054" w14:textId="77777777" w:rsidR="009F1295" w:rsidRPr="00FA0025" w:rsidRDefault="009F1295" w:rsidP="00FA0025">
      <w:pPr>
        <w:pStyle w:val="ListParagraph"/>
        <w:numPr>
          <w:ilvl w:val="0"/>
          <w:numId w:val="4"/>
        </w:numPr>
        <w:spacing w:after="0" w:line="360" w:lineRule="auto"/>
        <w:ind w:right="0"/>
        <w:rPr>
          <w:rFonts w:ascii="Verdana" w:hAnsi="Verdana"/>
          <w:sz w:val="22"/>
        </w:rPr>
      </w:pPr>
      <w:r w:rsidRPr="00FA0025">
        <w:rPr>
          <w:rFonts w:ascii="Verdana" w:hAnsi="Verdana"/>
          <w:sz w:val="22"/>
        </w:rPr>
        <w:lastRenderedPageBreak/>
        <w:t>The external aspect requires that the court concerned exercise its functions wholly autonomously, without being subordinated to any other body and without taking orders or instruction from any other source.</w:t>
      </w:r>
      <w:r w:rsidRPr="00FA0025">
        <w:rPr>
          <w:rStyle w:val="FootnoteReference"/>
          <w:rFonts w:ascii="Verdana" w:hAnsi="Verdana"/>
          <w:sz w:val="22"/>
        </w:rPr>
        <w:footnoteReference w:id="6"/>
      </w:r>
      <w:r w:rsidRPr="00FA0025">
        <w:rPr>
          <w:rFonts w:ascii="Verdana" w:hAnsi="Verdana"/>
          <w:sz w:val="22"/>
        </w:rPr>
        <w:t xml:space="preserve"> That entails protection against removal from office</w:t>
      </w:r>
      <w:r w:rsidRPr="00FA0025">
        <w:rPr>
          <w:rFonts w:ascii="Verdana" w:hAnsi="Verdana"/>
          <w:b/>
          <w:bCs/>
          <w:sz w:val="22"/>
        </w:rPr>
        <w:t>,</w:t>
      </w:r>
      <w:r w:rsidRPr="00FA0025">
        <w:rPr>
          <w:rFonts w:ascii="Verdana" w:hAnsi="Verdana"/>
          <w:sz w:val="22"/>
        </w:rPr>
        <w:t xml:space="preserve"> restricts the ability of states to reduce judicial remuneration and requires that the remuneration that is fixed is commensurate with the responsibility of the judicial position in question and nature of the judicial function.</w:t>
      </w:r>
      <w:r w:rsidRPr="00FA0025">
        <w:rPr>
          <w:rStyle w:val="FootnoteReference"/>
          <w:rFonts w:ascii="Verdana" w:hAnsi="Verdana"/>
          <w:sz w:val="22"/>
        </w:rPr>
        <w:footnoteReference w:id="7"/>
      </w:r>
    </w:p>
    <w:p w14:paraId="3D265B7C" w14:textId="77777777" w:rsidR="009F1295" w:rsidRPr="00FA0025" w:rsidRDefault="009F1295" w:rsidP="00FA0025">
      <w:pPr>
        <w:spacing w:after="0" w:line="360" w:lineRule="auto"/>
        <w:jc w:val="both"/>
        <w:rPr>
          <w:rFonts w:ascii="Verdana" w:hAnsi="Verdana" w:cs="Times New Roman"/>
        </w:rPr>
      </w:pPr>
    </w:p>
    <w:p w14:paraId="03907D24" w14:textId="77777777" w:rsidR="009F1295" w:rsidRPr="00FA0025" w:rsidRDefault="009F1295" w:rsidP="00FA0025">
      <w:pPr>
        <w:pStyle w:val="ListParagraph"/>
        <w:numPr>
          <w:ilvl w:val="0"/>
          <w:numId w:val="4"/>
        </w:numPr>
        <w:spacing w:after="0" w:line="360" w:lineRule="auto"/>
        <w:ind w:right="0"/>
        <w:rPr>
          <w:rFonts w:ascii="Verdana" w:hAnsi="Verdana"/>
          <w:sz w:val="22"/>
        </w:rPr>
      </w:pPr>
      <w:r w:rsidRPr="00FA0025">
        <w:rPr>
          <w:rFonts w:ascii="Verdana" w:hAnsi="Verdana"/>
          <w:sz w:val="22"/>
        </w:rPr>
        <w:t>The internal aspect requires that an equal distance is maintained from the parties to the proceedings and their respective interests with regard to the subject matter of those proceedings.</w:t>
      </w:r>
      <w:r w:rsidRPr="00FA0025">
        <w:rPr>
          <w:rStyle w:val="FootnoteReference"/>
          <w:rFonts w:ascii="Verdana" w:hAnsi="Verdana"/>
          <w:sz w:val="22"/>
        </w:rPr>
        <w:footnoteReference w:id="8"/>
      </w:r>
      <w:r w:rsidRPr="00FA0025">
        <w:rPr>
          <w:rFonts w:ascii="Verdana" w:hAnsi="Verdana"/>
          <w:sz w:val="22"/>
        </w:rPr>
        <w:t xml:space="preserve"> That imposes requirements of objectivity and the absence of any interest in the outcome of the proceedings.</w:t>
      </w:r>
      <w:r w:rsidRPr="00FA0025">
        <w:rPr>
          <w:rStyle w:val="FootnoteReference"/>
          <w:rFonts w:ascii="Verdana" w:hAnsi="Verdana"/>
          <w:sz w:val="22"/>
        </w:rPr>
        <w:footnoteReference w:id="9"/>
      </w:r>
    </w:p>
    <w:p w14:paraId="591D806E" w14:textId="77777777" w:rsidR="009F1295" w:rsidRPr="00FA0025" w:rsidRDefault="009F1295" w:rsidP="00FA0025">
      <w:pPr>
        <w:pStyle w:val="ListParagraph"/>
        <w:spacing w:after="0" w:line="360" w:lineRule="auto"/>
        <w:rPr>
          <w:rFonts w:ascii="Verdana" w:hAnsi="Verdana"/>
          <w:sz w:val="22"/>
        </w:rPr>
      </w:pPr>
    </w:p>
    <w:p w14:paraId="5BD4D832" w14:textId="77777777" w:rsidR="009F1295" w:rsidRPr="00FA0025" w:rsidRDefault="009F1295" w:rsidP="00FA0025">
      <w:pPr>
        <w:pStyle w:val="ListParagraph"/>
        <w:numPr>
          <w:ilvl w:val="0"/>
          <w:numId w:val="4"/>
        </w:numPr>
        <w:spacing w:after="0" w:line="360" w:lineRule="auto"/>
        <w:ind w:right="0"/>
        <w:rPr>
          <w:rFonts w:ascii="Verdana" w:hAnsi="Verdana"/>
          <w:sz w:val="22"/>
        </w:rPr>
      </w:pPr>
      <w:r w:rsidRPr="00FA0025">
        <w:rPr>
          <w:rFonts w:ascii="Verdana" w:hAnsi="Verdana"/>
          <w:sz w:val="22"/>
        </w:rPr>
        <w:t>These principles, moreover, require rules as regards the composition of a judicial body,</w:t>
      </w:r>
      <w:r w:rsidRPr="00FA0025">
        <w:rPr>
          <w:rStyle w:val="FootnoteReference"/>
          <w:rFonts w:ascii="Verdana" w:hAnsi="Verdana"/>
          <w:sz w:val="22"/>
        </w:rPr>
        <w:footnoteReference w:id="10"/>
      </w:r>
      <w:r w:rsidRPr="00FA0025">
        <w:rPr>
          <w:rFonts w:ascii="Verdana" w:hAnsi="Verdana"/>
          <w:sz w:val="22"/>
        </w:rPr>
        <w:t xml:space="preserve"> length of service and grounds for abstention, rejection and dismissal of its members. They demand that the disciplinary regime for judges must have guarantees that prevent its abuse, or its deployment as a system of political control, and presuppose rules concerning the composition of judicial panels which are transparent and known to litigants and which are such as to preclude any undue interference in the decision-making process in a given case.</w:t>
      </w:r>
      <w:r w:rsidRPr="00FA0025">
        <w:rPr>
          <w:rStyle w:val="FootnoteReference"/>
          <w:rFonts w:ascii="Verdana" w:hAnsi="Verdana"/>
          <w:sz w:val="22"/>
        </w:rPr>
        <w:footnoteReference w:id="11"/>
      </w:r>
    </w:p>
    <w:p w14:paraId="0F76E702" w14:textId="77777777" w:rsidR="009F1295" w:rsidRPr="00FA0025" w:rsidRDefault="009F1295" w:rsidP="00FA0025">
      <w:pPr>
        <w:pStyle w:val="ListParagraph"/>
        <w:spacing w:after="0" w:line="360" w:lineRule="auto"/>
        <w:rPr>
          <w:rFonts w:ascii="Verdana" w:hAnsi="Verdana"/>
          <w:sz w:val="22"/>
        </w:rPr>
      </w:pPr>
    </w:p>
    <w:p w14:paraId="5F890055" w14:textId="77777777" w:rsidR="009F1295" w:rsidRPr="00FA0025" w:rsidRDefault="009F1295" w:rsidP="00FA0025">
      <w:pPr>
        <w:pStyle w:val="ListParagraph"/>
        <w:numPr>
          <w:ilvl w:val="0"/>
          <w:numId w:val="4"/>
        </w:numPr>
        <w:spacing w:after="0" w:line="360" w:lineRule="auto"/>
        <w:ind w:right="0"/>
        <w:rPr>
          <w:rFonts w:ascii="Verdana" w:hAnsi="Verdana"/>
          <w:sz w:val="22"/>
        </w:rPr>
      </w:pPr>
      <w:r w:rsidRPr="00FA0025">
        <w:rPr>
          <w:rFonts w:ascii="Verdana" w:hAnsi="Verdana"/>
          <w:sz w:val="22"/>
        </w:rPr>
        <w:lastRenderedPageBreak/>
        <w:t xml:space="preserve">Similarly, the CJEU has said that the independence of a tribunal can be measured </w:t>
      </w:r>
      <w:r w:rsidRPr="00FA0025">
        <w:rPr>
          <w:rFonts w:ascii="Verdana" w:hAnsi="Verdana"/>
          <w:i/>
          <w:iCs/>
          <w:sz w:val="22"/>
        </w:rPr>
        <w:t>inter alia</w:t>
      </w:r>
      <w:r w:rsidRPr="00FA0025">
        <w:rPr>
          <w:rFonts w:ascii="Verdana" w:hAnsi="Verdana"/>
          <w:sz w:val="22"/>
        </w:rPr>
        <w:t xml:space="preserve"> by the way in which its members are appointed, presupposing the existence of rules governing the appointment of judges that dispel any reasonable doubt as to the imperviousness of that body to external factors and its neutrality with respect to the interests before it.</w:t>
      </w:r>
      <w:r w:rsidRPr="00FA0025">
        <w:rPr>
          <w:rStyle w:val="FootnoteReference"/>
          <w:rFonts w:ascii="Verdana" w:hAnsi="Verdana"/>
          <w:sz w:val="22"/>
        </w:rPr>
        <w:footnoteReference w:id="12"/>
      </w:r>
    </w:p>
    <w:p w14:paraId="25DE9718" w14:textId="77777777" w:rsidR="009F1295" w:rsidRPr="00FA0025" w:rsidRDefault="009F1295" w:rsidP="00FA0025">
      <w:pPr>
        <w:pStyle w:val="ListParagraph"/>
        <w:spacing w:after="0" w:line="360" w:lineRule="auto"/>
        <w:rPr>
          <w:rFonts w:ascii="Verdana" w:hAnsi="Verdana"/>
          <w:sz w:val="22"/>
        </w:rPr>
      </w:pPr>
    </w:p>
    <w:p w14:paraId="675741DE" w14:textId="77777777" w:rsidR="009F1295" w:rsidRPr="00FA0025" w:rsidRDefault="009F1295" w:rsidP="00FA0025">
      <w:pPr>
        <w:pStyle w:val="ListParagraph"/>
        <w:numPr>
          <w:ilvl w:val="0"/>
          <w:numId w:val="4"/>
        </w:numPr>
        <w:spacing w:after="0" w:line="360" w:lineRule="auto"/>
        <w:ind w:right="0"/>
        <w:rPr>
          <w:rFonts w:ascii="Verdana" w:hAnsi="Verdana"/>
          <w:sz w:val="22"/>
        </w:rPr>
      </w:pPr>
      <w:r w:rsidRPr="00FA0025">
        <w:rPr>
          <w:rFonts w:ascii="Verdana" w:hAnsi="Verdana"/>
          <w:sz w:val="22"/>
        </w:rPr>
        <w:t>Accordingly, an irregularity in the appointment of judges could, in and of itself, entail an infringement of the right to an effective remedy where the irregularity was such as to create a real risk that other branches of the State could exercise undue discretion undermining the integrity of the outcome of the appointment process</w:t>
      </w:r>
      <w:r w:rsidRPr="00FA0025">
        <w:rPr>
          <w:rFonts w:ascii="Verdana" w:hAnsi="Verdana"/>
          <w:b/>
          <w:bCs/>
          <w:sz w:val="22"/>
        </w:rPr>
        <w:t xml:space="preserve"> </w:t>
      </w:r>
      <w:r w:rsidRPr="00FA0025">
        <w:rPr>
          <w:rFonts w:ascii="Verdana" w:hAnsi="Verdana"/>
          <w:sz w:val="22"/>
        </w:rPr>
        <w:t>giving rise to a real doubt in the minds of individuals as to the independence and impartiality of the judge or judges concerned.</w:t>
      </w:r>
      <w:r w:rsidRPr="00FA0025">
        <w:rPr>
          <w:rStyle w:val="FootnoteReference"/>
          <w:rFonts w:ascii="Verdana" w:hAnsi="Verdana"/>
          <w:sz w:val="22"/>
        </w:rPr>
        <w:footnoteReference w:id="13"/>
      </w:r>
    </w:p>
    <w:p w14:paraId="1986CCCC" w14:textId="77777777" w:rsidR="009F1295" w:rsidRPr="00FA0025" w:rsidRDefault="009F1295" w:rsidP="00FA0025">
      <w:pPr>
        <w:pStyle w:val="ListParagraph"/>
        <w:spacing w:after="0" w:line="360" w:lineRule="auto"/>
        <w:rPr>
          <w:rFonts w:ascii="Verdana" w:hAnsi="Verdana"/>
          <w:sz w:val="22"/>
        </w:rPr>
      </w:pPr>
    </w:p>
    <w:p w14:paraId="636B7E35" w14:textId="77777777" w:rsidR="009F1295" w:rsidRPr="00FA0025" w:rsidRDefault="009F1295" w:rsidP="00FA0025">
      <w:pPr>
        <w:pStyle w:val="ListParagraph"/>
        <w:numPr>
          <w:ilvl w:val="0"/>
          <w:numId w:val="4"/>
        </w:numPr>
        <w:spacing w:after="0" w:line="360" w:lineRule="auto"/>
        <w:ind w:right="0"/>
        <w:rPr>
          <w:rFonts w:ascii="Verdana" w:hAnsi="Verdana"/>
          <w:sz w:val="22"/>
        </w:rPr>
      </w:pPr>
      <w:r w:rsidRPr="00FA0025">
        <w:rPr>
          <w:rFonts w:ascii="Verdana" w:hAnsi="Verdana"/>
          <w:sz w:val="22"/>
        </w:rPr>
        <w:t>Those principles have been extended to the secondment of judges from one court to another, and in some circumstances to the reallocation of cases and assignment of judges within a court.</w:t>
      </w:r>
      <w:r w:rsidRPr="00FA0025">
        <w:rPr>
          <w:rStyle w:val="FootnoteReference"/>
          <w:rFonts w:ascii="Verdana" w:hAnsi="Verdana"/>
          <w:sz w:val="22"/>
        </w:rPr>
        <w:footnoteReference w:id="14"/>
      </w:r>
      <w:r w:rsidRPr="00FA0025">
        <w:rPr>
          <w:rFonts w:ascii="Verdana" w:hAnsi="Verdana"/>
          <w:sz w:val="22"/>
        </w:rPr>
        <w:t xml:space="preserve"> The CJEU has not merely prescribed the need for rules to this end, but has demanded that compliance with legal provisions relating to the composition of the court sitting in each case be subject to judicial review.</w:t>
      </w:r>
      <w:r w:rsidRPr="00FA0025">
        <w:rPr>
          <w:rStyle w:val="FootnoteReference"/>
          <w:rFonts w:ascii="Verdana" w:hAnsi="Verdana"/>
          <w:sz w:val="22"/>
        </w:rPr>
        <w:footnoteReference w:id="15"/>
      </w:r>
    </w:p>
    <w:p w14:paraId="2DD597C3" w14:textId="77777777" w:rsidR="009F1295" w:rsidRPr="00FA0025" w:rsidRDefault="009F1295" w:rsidP="00FA0025">
      <w:pPr>
        <w:pStyle w:val="ListParagraph"/>
        <w:spacing w:after="0" w:line="360" w:lineRule="auto"/>
        <w:rPr>
          <w:rFonts w:ascii="Verdana" w:hAnsi="Verdana"/>
          <w:sz w:val="22"/>
        </w:rPr>
      </w:pPr>
    </w:p>
    <w:p w14:paraId="762BEBE1" w14:textId="77777777" w:rsidR="009F1295" w:rsidRPr="00FA0025" w:rsidRDefault="009F1295" w:rsidP="00FA0025">
      <w:pPr>
        <w:pStyle w:val="ListParagraph"/>
        <w:numPr>
          <w:ilvl w:val="0"/>
          <w:numId w:val="4"/>
        </w:numPr>
        <w:spacing w:after="0" w:line="360" w:lineRule="auto"/>
        <w:ind w:right="0"/>
        <w:rPr>
          <w:rFonts w:ascii="Verdana" w:hAnsi="Verdana"/>
          <w:sz w:val="22"/>
        </w:rPr>
      </w:pPr>
      <w:r w:rsidRPr="00FA0025">
        <w:rPr>
          <w:rFonts w:ascii="Verdana" w:hAnsi="Verdana"/>
          <w:sz w:val="22"/>
        </w:rPr>
        <w:t xml:space="preserve">Where these requirements are not met, it may have implications for the enforcement of orders of non-compliant courts, for the rendition to such jurisdictions of fugitives pursuant to the European Arrest Warrant regime, or for the ability of those courts to make references under Article 267 TFEU. In particular, the CJEU has said that where a </w:t>
      </w:r>
      <w:r w:rsidRPr="00FA0025">
        <w:rPr>
          <w:rFonts w:ascii="Verdana" w:hAnsi="Verdana"/>
          <w:sz w:val="22"/>
        </w:rPr>
        <w:lastRenderedPageBreak/>
        <w:t>judge is appointed in clear breach of fundamental rules, and the integrity of the outcome of a judicial procedure is undermined, national courts must find the decision of the judge to be</w:t>
      </w:r>
      <w:r w:rsidRPr="00FA0025">
        <w:rPr>
          <w:rFonts w:ascii="Verdana" w:hAnsi="Verdana"/>
          <w:b/>
          <w:bCs/>
          <w:sz w:val="22"/>
        </w:rPr>
        <w:t xml:space="preserve"> </w:t>
      </w:r>
      <w:r w:rsidRPr="00FA0025">
        <w:rPr>
          <w:rFonts w:ascii="Verdana" w:hAnsi="Verdana"/>
          <w:sz w:val="22"/>
        </w:rPr>
        <w:t>null and void where this is essential to ensure the primacy of EU law.</w:t>
      </w:r>
      <w:r w:rsidRPr="00FA0025">
        <w:rPr>
          <w:rStyle w:val="FootnoteReference"/>
          <w:rFonts w:ascii="Verdana" w:hAnsi="Verdana"/>
          <w:sz w:val="22"/>
        </w:rPr>
        <w:footnoteReference w:id="16"/>
      </w:r>
      <w:r w:rsidRPr="00FA0025">
        <w:rPr>
          <w:rFonts w:ascii="Verdana" w:hAnsi="Verdana"/>
          <w:sz w:val="22"/>
        </w:rPr>
        <w:t xml:space="preserve"> </w:t>
      </w:r>
    </w:p>
    <w:p w14:paraId="0E0500FD" w14:textId="77777777" w:rsidR="009F1295" w:rsidRPr="00FA0025" w:rsidRDefault="009F1295" w:rsidP="00FA0025">
      <w:pPr>
        <w:spacing w:after="0" w:line="360" w:lineRule="auto"/>
        <w:jc w:val="both"/>
        <w:rPr>
          <w:rFonts w:ascii="Verdana" w:hAnsi="Verdana" w:cs="Times New Roman"/>
        </w:rPr>
      </w:pPr>
    </w:p>
    <w:p w14:paraId="7103B343"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That involves extracting an awful lot from Articles 2, 19, 267 and 47. Although some might say that they were built on a contestable doctrinal foundation, the general principles are now firmly embedded within the court’s jurisprudence. Their development has had profound implications for constitutionalism at the level both of EU law, and within the law of the individual Member States concerned. They are, at least I think, broadly welcome and probably a necessary assertion of the imperatives underlying the rule of law.</w:t>
      </w:r>
    </w:p>
    <w:p w14:paraId="36010AE0" w14:textId="77777777" w:rsidR="009F1295" w:rsidRPr="00FA0025" w:rsidRDefault="009F1295" w:rsidP="00FA0025">
      <w:pPr>
        <w:pStyle w:val="ListParagraph"/>
        <w:spacing w:after="0" w:line="360" w:lineRule="auto"/>
        <w:rPr>
          <w:rFonts w:ascii="Verdana" w:hAnsi="Verdana"/>
          <w:sz w:val="22"/>
        </w:rPr>
      </w:pPr>
      <w:r w:rsidRPr="00FA0025">
        <w:rPr>
          <w:rFonts w:ascii="Verdana" w:hAnsi="Verdana"/>
          <w:sz w:val="22"/>
        </w:rPr>
        <w:t xml:space="preserve"> </w:t>
      </w:r>
    </w:p>
    <w:p w14:paraId="610AFED3"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 xml:space="preserve">However, as the case law has moved outside the immediate context of rule of law crises, concerns have been raised that the court has assumed an unduly prescriptive role in fashioning domestic judicial frameworks, and unduly intruding into areas properly consigned to national constitutional laws. That was particularly evident in </w:t>
      </w:r>
      <w:r w:rsidRPr="00FA0025">
        <w:rPr>
          <w:rFonts w:ascii="Verdana" w:hAnsi="Verdana"/>
          <w:i/>
          <w:iCs/>
          <w:sz w:val="22"/>
        </w:rPr>
        <w:t>Hann-Invest</w:t>
      </w:r>
      <w:r w:rsidRPr="00FA0025">
        <w:rPr>
          <w:rFonts w:ascii="Verdana" w:hAnsi="Verdana"/>
          <w:sz w:val="22"/>
        </w:rPr>
        <w:t>, where the CJEU questioned the power of registration judges under Croatian law in blocking the delivery of judgments that deviated from existing case law. That decision, delivered in December 2024 marked what has been described as ‘</w:t>
      </w:r>
      <w:r w:rsidRPr="00FA0025">
        <w:rPr>
          <w:rFonts w:ascii="Verdana" w:hAnsi="Verdana"/>
          <w:i/>
          <w:iCs/>
          <w:sz w:val="22"/>
        </w:rPr>
        <w:t>a decisive moment in defining the extent of EU scrutiny over national judicial strictures’</w:t>
      </w:r>
      <w:r w:rsidRPr="00FA0025">
        <w:rPr>
          <w:rFonts w:ascii="Verdana" w:hAnsi="Verdana"/>
          <w:sz w:val="22"/>
        </w:rPr>
        <w:t>.</w:t>
      </w:r>
      <w:r w:rsidRPr="00FA0025">
        <w:rPr>
          <w:rStyle w:val="FootnoteReference"/>
          <w:rFonts w:ascii="Verdana" w:hAnsi="Verdana"/>
          <w:sz w:val="22"/>
        </w:rPr>
        <w:footnoteReference w:id="17"/>
      </w:r>
    </w:p>
    <w:p w14:paraId="7DDEE17B" w14:textId="77777777" w:rsidR="009F1295" w:rsidRPr="00FA0025" w:rsidRDefault="009F1295" w:rsidP="00FA0025">
      <w:pPr>
        <w:spacing w:after="0" w:line="360" w:lineRule="auto"/>
        <w:ind w:left="360"/>
        <w:jc w:val="both"/>
        <w:rPr>
          <w:rFonts w:ascii="Verdana" w:hAnsi="Verdana" w:cs="Times New Roman"/>
        </w:rPr>
      </w:pPr>
    </w:p>
    <w:p w14:paraId="6A7D1D0C"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i/>
          <w:iCs/>
          <w:sz w:val="22"/>
        </w:rPr>
        <w:t xml:space="preserve">Hann Invest </w:t>
      </w:r>
      <w:r w:rsidRPr="00FA0025">
        <w:rPr>
          <w:rFonts w:ascii="Verdana" w:hAnsi="Verdana"/>
          <w:sz w:val="22"/>
        </w:rPr>
        <w:t xml:space="preserve">has the potential to be a landmark ruling, intruding as it does into the balance set by domestic legal systems between the demands of legal certainty, and the normative effect of judicial independence. What is important to us for present purposes, however, is the reality that the speed with which the case law evolved meant, inevitably, that it was set to plateau out, and indeed that there was a strong likelihood that the court might begin </w:t>
      </w:r>
      <w:r w:rsidRPr="00FA0025">
        <w:rPr>
          <w:rFonts w:ascii="Verdana" w:hAnsi="Verdana"/>
          <w:sz w:val="22"/>
        </w:rPr>
        <w:lastRenderedPageBreak/>
        <w:t>to retrench from the looser assertions in some of the earlier decisions. Both manifested in 2025. There are six relevant decisions of the CJEU.</w:t>
      </w:r>
    </w:p>
    <w:p w14:paraId="5CD04ED1" w14:textId="77777777" w:rsidR="009F1295" w:rsidRPr="00FA0025" w:rsidRDefault="009F1295" w:rsidP="00FA0025">
      <w:pPr>
        <w:pStyle w:val="ListParagraph"/>
        <w:spacing w:after="0" w:line="360" w:lineRule="auto"/>
        <w:rPr>
          <w:rFonts w:ascii="Verdana" w:hAnsi="Verdana"/>
          <w:sz w:val="22"/>
        </w:rPr>
      </w:pPr>
      <w:r w:rsidRPr="00FA0025">
        <w:rPr>
          <w:rFonts w:ascii="Verdana" w:hAnsi="Verdana"/>
          <w:sz w:val="22"/>
        </w:rPr>
        <w:t xml:space="preserve"> </w:t>
      </w:r>
    </w:p>
    <w:p w14:paraId="3E6C92A0"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They were as follows:</w:t>
      </w:r>
    </w:p>
    <w:p w14:paraId="6641D0C6" w14:textId="77777777" w:rsidR="009F1295" w:rsidRPr="00FA0025" w:rsidRDefault="009F1295" w:rsidP="00FA0025">
      <w:pPr>
        <w:pStyle w:val="ListParagraph"/>
        <w:spacing w:after="0" w:line="360" w:lineRule="auto"/>
        <w:rPr>
          <w:rFonts w:ascii="Verdana" w:hAnsi="Verdana"/>
          <w:sz w:val="22"/>
        </w:rPr>
      </w:pPr>
    </w:p>
    <w:p w14:paraId="05F3352B" w14:textId="77777777" w:rsidR="009F1295" w:rsidRPr="00FA0025" w:rsidRDefault="009F1295" w:rsidP="00FA0025">
      <w:pPr>
        <w:pStyle w:val="ListParagraph"/>
        <w:numPr>
          <w:ilvl w:val="0"/>
          <w:numId w:val="5"/>
        </w:numPr>
        <w:spacing w:after="0" w:line="360" w:lineRule="auto"/>
        <w:ind w:right="0"/>
        <w:rPr>
          <w:rFonts w:ascii="Verdana" w:hAnsi="Verdana"/>
          <w:color w:val="000000" w:themeColor="text1"/>
          <w:sz w:val="22"/>
        </w:rPr>
      </w:pPr>
      <w:r w:rsidRPr="00FA0025">
        <w:rPr>
          <w:rFonts w:ascii="Verdana" w:hAnsi="Verdana"/>
          <w:color w:val="000000" w:themeColor="text1"/>
          <w:sz w:val="22"/>
        </w:rPr>
        <w:t xml:space="preserve">Judgment of 25 February 2025 Joined Cases C-146/23 and C-374/23 </w:t>
      </w:r>
      <w:r w:rsidRPr="00FA0025">
        <w:rPr>
          <w:rFonts w:ascii="Verdana" w:hAnsi="Verdana"/>
          <w:i/>
          <w:iCs/>
          <w:color w:val="000000" w:themeColor="text1"/>
          <w:sz w:val="22"/>
        </w:rPr>
        <w:t xml:space="preserve">XL and Others v </w:t>
      </w:r>
      <w:proofErr w:type="spellStart"/>
      <w:r w:rsidRPr="00FA0025">
        <w:rPr>
          <w:rFonts w:ascii="Verdana" w:hAnsi="Verdana"/>
          <w:i/>
          <w:iCs/>
          <w:color w:val="000000" w:themeColor="text1"/>
          <w:sz w:val="22"/>
        </w:rPr>
        <w:t>Sąd</w:t>
      </w:r>
      <w:proofErr w:type="spellEnd"/>
      <w:r w:rsidRPr="00FA0025">
        <w:rPr>
          <w:rFonts w:ascii="Verdana" w:hAnsi="Verdana"/>
          <w:i/>
          <w:iCs/>
          <w:color w:val="000000" w:themeColor="text1"/>
          <w:sz w:val="22"/>
        </w:rPr>
        <w:t xml:space="preserve"> </w:t>
      </w:r>
      <w:proofErr w:type="spellStart"/>
      <w:r w:rsidRPr="00FA0025">
        <w:rPr>
          <w:rFonts w:ascii="Verdana" w:hAnsi="Verdana"/>
          <w:i/>
          <w:iCs/>
          <w:color w:val="000000" w:themeColor="text1"/>
          <w:sz w:val="22"/>
        </w:rPr>
        <w:t>Rejonowy</w:t>
      </w:r>
      <w:proofErr w:type="spellEnd"/>
      <w:r w:rsidRPr="00FA0025">
        <w:rPr>
          <w:rFonts w:ascii="Verdana" w:hAnsi="Verdana"/>
          <w:i/>
          <w:iCs/>
          <w:color w:val="000000" w:themeColor="text1"/>
          <w:sz w:val="22"/>
        </w:rPr>
        <w:t xml:space="preserve"> w </w:t>
      </w:r>
      <w:proofErr w:type="spellStart"/>
      <w:r w:rsidRPr="00FA0025">
        <w:rPr>
          <w:rFonts w:ascii="Verdana" w:hAnsi="Verdana"/>
          <w:i/>
          <w:iCs/>
          <w:color w:val="000000" w:themeColor="text1"/>
          <w:sz w:val="22"/>
        </w:rPr>
        <w:t>Białymstoku</w:t>
      </w:r>
      <w:proofErr w:type="spellEnd"/>
      <w:r w:rsidRPr="00FA0025">
        <w:rPr>
          <w:rFonts w:ascii="Verdana" w:hAnsi="Verdana"/>
          <w:i/>
          <w:iCs/>
          <w:color w:val="000000" w:themeColor="text1"/>
          <w:sz w:val="22"/>
        </w:rPr>
        <w:t xml:space="preserve"> and Lietuvos Respublika </w:t>
      </w:r>
      <w:r w:rsidRPr="00FA0025">
        <w:rPr>
          <w:rFonts w:ascii="Verdana" w:hAnsi="Verdana"/>
          <w:color w:val="000000" w:themeColor="text1"/>
          <w:sz w:val="22"/>
        </w:rPr>
        <w:t xml:space="preserve">ECLI:EU:C:2025:109 </w:t>
      </w:r>
      <w:r w:rsidRPr="00FA0025">
        <w:rPr>
          <w:rFonts w:ascii="Verdana" w:hAnsi="Verdana"/>
          <w:b/>
          <w:bCs/>
          <w:color w:val="000000" w:themeColor="text1"/>
          <w:sz w:val="22"/>
        </w:rPr>
        <w:t>(‘</w:t>
      </w:r>
      <w:r w:rsidRPr="00FA0025">
        <w:rPr>
          <w:rFonts w:ascii="Verdana" w:hAnsi="Verdana"/>
          <w:b/>
          <w:bCs/>
          <w:i/>
          <w:iCs/>
          <w:color w:val="000000" w:themeColor="text1"/>
          <w:sz w:val="22"/>
        </w:rPr>
        <w:t>XL’</w:t>
      </w:r>
      <w:r w:rsidRPr="00FA0025">
        <w:rPr>
          <w:rFonts w:ascii="Verdana" w:hAnsi="Verdana"/>
          <w:b/>
          <w:bCs/>
          <w:color w:val="000000" w:themeColor="text1"/>
          <w:sz w:val="22"/>
        </w:rPr>
        <w:t>)</w:t>
      </w:r>
    </w:p>
    <w:p w14:paraId="5E4B620D" w14:textId="77777777" w:rsidR="009F1295" w:rsidRPr="00FA0025" w:rsidRDefault="009F1295" w:rsidP="00FA0025">
      <w:pPr>
        <w:spacing w:after="0" w:line="360" w:lineRule="auto"/>
        <w:jc w:val="both"/>
        <w:rPr>
          <w:rFonts w:ascii="Verdana" w:hAnsi="Verdana" w:cs="Times New Roman"/>
          <w:color w:val="000000" w:themeColor="text1"/>
        </w:rPr>
      </w:pPr>
    </w:p>
    <w:p w14:paraId="0CFD65BE" w14:textId="77777777" w:rsidR="009F1295" w:rsidRPr="00FA0025" w:rsidRDefault="009F1295" w:rsidP="00FA0025">
      <w:pPr>
        <w:pStyle w:val="ListParagraph"/>
        <w:numPr>
          <w:ilvl w:val="0"/>
          <w:numId w:val="5"/>
        </w:numPr>
        <w:spacing w:after="0" w:line="360" w:lineRule="auto"/>
        <w:ind w:right="0"/>
        <w:rPr>
          <w:rFonts w:ascii="Verdana" w:hAnsi="Verdana"/>
          <w:color w:val="000000" w:themeColor="text1"/>
          <w:sz w:val="22"/>
        </w:rPr>
      </w:pPr>
      <w:r w:rsidRPr="00FA0025">
        <w:rPr>
          <w:rFonts w:ascii="Verdana" w:hAnsi="Verdana"/>
          <w:color w:val="000000" w:themeColor="text1"/>
          <w:sz w:val="22"/>
        </w:rPr>
        <w:t xml:space="preserve">Judgment of 6 March 2025 Joined Cases C-647/21 and C-648/21 </w:t>
      </w:r>
      <w:r w:rsidRPr="00FA0025">
        <w:rPr>
          <w:rFonts w:ascii="Verdana" w:hAnsi="Verdana"/>
          <w:i/>
          <w:iCs/>
          <w:color w:val="000000" w:themeColor="text1"/>
          <w:sz w:val="22"/>
        </w:rPr>
        <w:t xml:space="preserve">D. K. and Others v. </w:t>
      </w:r>
      <w:proofErr w:type="spellStart"/>
      <w:r w:rsidRPr="00FA0025">
        <w:rPr>
          <w:rFonts w:ascii="Verdana" w:hAnsi="Verdana"/>
          <w:i/>
          <w:iCs/>
          <w:color w:val="000000" w:themeColor="text1"/>
          <w:sz w:val="22"/>
        </w:rPr>
        <w:t>Prokuratura</w:t>
      </w:r>
      <w:proofErr w:type="spellEnd"/>
      <w:r w:rsidRPr="00FA0025">
        <w:rPr>
          <w:rFonts w:ascii="Verdana" w:hAnsi="Verdana"/>
          <w:i/>
          <w:iCs/>
          <w:color w:val="000000" w:themeColor="text1"/>
          <w:sz w:val="22"/>
        </w:rPr>
        <w:t xml:space="preserve"> </w:t>
      </w:r>
      <w:proofErr w:type="spellStart"/>
      <w:r w:rsidRPr="00FA0025">
        <w:rPr>
          <w:rFonts w:ascii="Verdana" w:hAnsi="Verdana"/>
          <w:i/>
          <w:iCs/>
          <w:color w:val="000000" w:themeColor="text1"/>
          <w:sz w:val="22"/>
        </w:rPr>
        <w:t>Rejonowa</w:t>
      </w:r>
      <w:proofErr w:type="spellEnd"/>
      <w:r w:rsidRPr="00FA0025">
        <w:rPr>
          <w:rFonts w:ascii="Verdana" w:hAnsi="Verdana"/>
          <w:i/>
          <w:iCs/>
          <w:color w:val="000000" w:themeColor="text1"/>
          <w:sz w:val="22"/>
        </w:rPr>
        <w:t xml:space="preserve"> w </w:t>
      </w:r>
      <w:proofErr w:type="spellStart"/>
      <w:r w:rsidRPr="00FA0025">
        <w:rPr>
          <w:rFonts w:ascii="Verdana" w:hAnsi="Verdana"/>
          <w:i/>
          <w:iCs/>
          <w:color w:val="000000" w:themeColor="text1"/>
          <w:sz w:val="22"/>
        </w:rPr>
        <w:t>Bytowie</w:t>
      </w:r>
      <w:proofErr w:type="spellEnd"/>
      <w:r w:rsidRPr="00FA0025">
        <w:rPr>
          <w:rFonts w:ascii="Verdana" w:hAnsi="Verdana"/>
          <w:i/>
          <w:iCs/>
          <w:color w:val="000000" w:themeColor="text1"/>
          <w:sz w:val="22"/>
        </w:rPr>
        <w:t xml:space="preserve"> and </w:t>
      </w:r>
      <w:proofErr w:type="spellStart"/>
      <w:r w:rsidRPr="00FA0025">
        <w:rPr>
          <w:rFonts w:ascii="Verdana" w:hAnsi="Verdana"/>
          <w:i/>
          <w:iCs/>
          <w:color w:val="000000" w:themeColor="text1"/>
          <w:sz w:val="22"/>
        </w:rPr>
        <w:t>Prokuratura</w:t>
      </w:r>
      <w:proofErr w:type="spellEnd"/>
      <w:r w:rsidRPr="00FA0025">
        <w:rPr>
          <w:rFonts w:ascii="Verdana" w:hAnsi="Verdana"/>
          <w:i/>
          <w:iCs/>
          <w:color w:val="000000" w:themeColor="text1"/>
          <w:sz w:val="22"/>
        </w:rPr>
        <w:t xml:space="preserve"> </w:t>
      </w:r>
      <w:proofErr w:type="spellStart"/>
      <w:r w:rsidRPr="00FA0025">
        <w:rPr>
          <w:rFonts w:ascii="Verdana" w:hAnsi="Verdana"/>
          <w:i/>
          <w:iCs/>
          <w:color w:val="000000" w:themeColor="text1"/>
          <w:sz w:val="22"/>
        </w:rPr>
        <w:t>Okręgowa</w:t>
      </w:r>
      <w:proofErr w:type="spellEnd"/>
      <w:r w:rsidRPr="00FA0025">
        <w:rPr>
          <w:rFonts w:ascii="Verdana" w:hAnsi="Verdana"/>
          <w:i/>
          <w:iCs/>
          <w:color w:val="000000" w:themeColor="text1"/>
          <w:sz w:val="22"/>
        </w:rPr>
        <w:t xml:space="preserve"> w </w:t>
      </w:r>
      <w:proofErr w:type="spellStart"/>
      <w:r w:rsidRPr="00FA0025">
        <w:rPr>
          <w:rFonts w:ascii="Verdana" w:hAnsi="Verdana"/>
          <w:i/>
          <w:iCs/>
          <w:color w:val="000000" w:themeColor="text1"/>
          <w:sz w:val="22"/>
        </w:rPr>
        <w:t>Łomży</w:t>
      </w:r>
      <w:proofErr w:type="spellEnd"/>
      <w:r w:rsidRPr="00FA0025">
        <w:rPr>
          <w:rFonts w:ascii="Verdana" w:hAnsi="Verdana"/>
          <w:color w:val="000000" w:themeColor="text1"/>
          <w:sz w:val="22"/>
        </w:rPr>
        <w:t>, ECLI:EU:C:2025:143 (‘</w:t>
      </w:r>
      <w:r w:rsidRPr="00FA0025">
        <w:rPr>
          <w:rFonts w:ascii="Verdana" w:hAnsi="Verdana"/>
          <w:b/>
          <w:bCs/>
          <w:i/>
          <w:iCs/>
          <w:color w:val="000000" w:themeColor="text1"/>
          <w:sz w:val="22"/>
        </w:rPr>
        <w:t>DK’</w:t>
      </w:r>
      <w:r w:rsidRPr="00FA0025">
        <w:rPr>
          <w:rFonts w:ascii="Verdana" w:hAnsi="Verdana"/>
          <w:color w:val="000000" w:themeColor="text1"/>
          <w:sz w:val="22"/>
        </w:rPr>
        <w:t>)</w:t>
      </w:r>
    </w:p>
    <w:p w14:paraId="7034D568" w14:textId="77777777" w:rsidR="009F1295" w:rsidRPr="00FA0025" w:rsidRDefault="009F1295" w:rsidP="00FA0025">
      <w:pPr>
        <w:pStyle w:val="ListParagraph"/>
        <w:spacing w:after="0" w:line="360" w:lineRule="auto"/>
        <w:rPr>
          <w:rFonts w:ascii="Verdana" w:hAnsi="Verdana"/>
          <w:color w:val="000000" w:themeColor="text1"/>
          <w:sz w:val="22"/>
        </w:rPr>
      </w:pPr>
    </w:p>
    <w:p w14:paraId="35EBD724" w14:textId="77777777" w:rsidR="009F1295" w:rsidRPr="00FA0025" w:rsidRDefault="009F1295" w:rsidP="00FA0025">
      <w:pPr>
        <w:pStyle w:val="ListParagraph"/>
        <w:numPr>
          <w:ilvl w:val="0"/>
          <w:numId w:val="5"/>
        </w:numPr>
        <w:spacing w:after="0" w:line="360" w:lineRule="auto"/>
        <w:ind w:right="0"/>
        <w:rPr>
          <w:rFonts w:ascii="Verdana" w:hAnsi="Verdana"/>
          <w:color w:val="000000" w:themeColor="text1"/>
          <w:sz w:val="22"/>
        </w:rPr>
      </w:pPr>
      <w:r w:rsidRPr="00FA0025">
        <w:rPr>
          <w:rFonts w:ascii="Verdana" w:hAnsi="Verdana"/>
          <w:color w:val="000000" w:themeColor="text1"/>
          <w:sz w:val="22"/>
        </w:rPr>
        <w:t xml:space="preserve">Judgment of 5 June 2025 Cases C-762/23 </w:t>
      </w:r>
      <w:r w:rsidRPr="00FA0025">
        <w:rPr>
          <w:rFonts w:ascii="Verdana" w:hAnsi="Verdana"/>
          <w:i/>
          <w:iCs/>
          <w:color w:val="000000" w:themeColor="text1"/>
          <w:sz w:val="22"/>
        </w:rPr>
        <w:t xml:space="preserve">RL and ors v. </w:t>
      </w:r>
      <w:proofErr w:type="spellStart"/>
      <w:r w:rsidRPr="00FA0025">
        <w:rPr>
          <w:rFonts w:ascii="Verdana" w:hAnsi="Verdana"/>
          <w:i/>
          <w:iCs/>
          <w:color w:val="000000" w:themeColor="text1"/>
          <w:sz w:val="22"/>
        </w:rPr>
        <w:t>Curtea</w:t>
      </w:r>
      <w:proofErr w:type="spellEnd"/>
      <w:r w:rsidRPr="00FA0025">
        <w:rPr>
          <w:rFonts w:ascii="Verdana" w:hAnsi="Verdana"/>
          <w:i/>
          <w:iCs/>
          <w:color w:val="000000" w:themeColor="text1"/>
          <w:sz w:val="22"/>
        </w:rPr>
        <w:t xml:space="preserve"> de Apel </w:t>
      </w:r>
      <w:proofErr w:type="spellStart"/>
      <w:r w:rsidRPr="00FA0025">
        <w:rPr>
          <w:rFonts w:ascii="Verdana" w:hAnsi="Verdana"/>
          <w:i/>
          <w:iCs/>
          <w:color w:val="000000" w:themeColor="text1"/>
          <w:sz w:val="22"/>
        </w:rPr>
        <w:t>Bucuresti</w:t>
      </w:r>
      <w:proofErr w:type="spellEnd"/>
      <w:r w:rsidRPr="00FA0025">
        <w:rPr>
          <w:rFonts w:ascii="Verdana" w:hAnsi="Verdana"/>
          <w:i/>
          <w:iCs/>
          <w:color w:val="000000" w:themeColor="text1"/>
          <w:sz w:val="22"/>
        </w:rPr>
        <w:t xml:space="preserve"> and </w:t>
      </w:r>
      <w:proofErr w:type="spellStart"/>
      <w:r w:rsidRPr="00FA0025">
        <w:rPr>
          <w:rFonts w:ascii="Verdana" w:hAnsi="Verdana"/>
          <w:i/>
          <w:iCs/>
          <w:color w:val="000000" w:themeColor="text1"/>
          <w:sz w:val="22"/>
        </w:rPr>
        <w:t>Consiliul</w:t>
      </w:r>
      <w:proofErr w:type="spellEnd"/>
      <w:r w:rsidRPr="00FA0025">
        <w:rPr>
          <w:rFonts w:ascii="Verdana" w:hAnsi="Verdana"/>
          <w:i/>
          <w:iCs/>
          <w:color w:val="000000" w:themeColor="text1"/>
          <w:sz w:val="22"/>
        </w:rPr>
        <w:t xml:space="preserve"> National </w:t>
      </w:r>
      <w:proofErr w:type="spellStart"/>
      <w:r w:rsidRPr="00FA0025">
        <w:rPr>
          <w:rFonts w:ascii="Verdana" w:hAnsi="Verdana"/>
          <w:i/>
          <w:iCs/>
          <w:color w:val="000000" w:themeColor="text1"/>
          <w:sz w:val="22"/>
        </w:rPr>
        <w:t>pentru</w:t>
      </w:r>
      <w:proofErr w:type="spellEnd"/>
      <w:r w:rsidRPr="00FA0025">
        <w:rPr>
          <w:rFonts w:ascii="Verdana" w:hAnsi="Verdana"/>
          <w:i/>
          <w:iCs/>
          <w:color w:val="000000" w:themeColor="text1"/>
          <w:sz w:val="22"/>
        </w:rPr>
        <w:t xml:space="preserve"> </w:t>
      </w:r>
      <w:proofErr w:type="spellStart"/>
      <w:r w:rsidRPr="00FA0025">
        <w:rPr>
          <w:rFonts w:ascii="Verdana" w:hAnsi="Verdana"/>
          <w:i/>
          <w:iCs/>
          <w:color w:val="000000" w:themeColor="text1"/>
          <w:sz w:val="22"/>
        </w:rPr>
        <w:t>Combatera</w:t>
      </w:r>
      <w:proofErr w:type="spellEnd"/>
      <w:r w:rsidRPr="00FA0025">
        <w:rPr>
          <w:rFonts w:ascii="Verdana" w:hAnsi="Verdana"/>
          <w:i/>
          <w:iCs/>
          <w:color w:val="000000" w:themeColor="text1"/>
          <w:sz w:val="22"/>
        </w:rPr>
        <w:t xml:space="preserve"> </w:t>
      </w:r>
      <w:proofErr w:type="spellStart"/>
      <w:r w:rsidRPr="00FA0025">
        <w:rPr>
          <w:rFonts w:ascii="Verdana" w:hAnsi="Verdana"/>
          <w:i/>
          <w:iCs/>
          <w:color w:val="000000" w:themeColor="text1"/>
          <w:sz w:val="22"/>
        </w:rPr>
        <w:t>Discriminarii</w:t>
      </w:r>
      <w:proofErr w:type="spellEnd"/>
      <w:r w:rsidRPr="00FA0025">
        <w:rPr>
          <w:rFonts w:ascii="Verdana" w:hAnsi="Verdana"/>
          <w:i/>
          <w:iCs/>
          <w:color w:val="000000" w:themeColor="text1"/>
          <w:sz w:val="22"/>
        </w:rPr>
        <w:t xml:space="preserve"> </w:t>
      </w:r>
      <w:r w:rsidRPr="00FA0025">
        <w:rPr>
          <w:rFonts w:ascii="Verdana" w:hAnsi="Verdana"/>
          <w:color w:val="000000" w:themeColor="text1"/>
          <w:sz w:val="22"/>
        </w:rPr>
        <w:t>ECLI:EU:C:2025:400 (‘</w:t>
      </w:r>
      <w:r w:rsidRPr="00FA0025">
        <w:rPr>
          <w:rFonts w:ascii="Verdana" w:hAnsi="Verdana"/>
          <w:b/>
          <w:bCs/>
          <w:i/>
          <w:iCs/>
          <w:color w:val="000000" w:themeColor="text1"/>
          <w:sz w:val="22"/>
        </w:rPr>
        <w:t>RL’</w:t>
      </w:r>
      <w:r w:rsidRPr="00FA0025">
        <w:rPr>
          <w:rFonts w:ascii="Verdana" w:hAnsi="Verdana"/>
          <w:color w:val="000000" w:themeColor="text1"/>
          <w:sz w:val="22"/>
        </w:rPr>
        <w:t>)</w:t>
      </w:r>
    </w:p>
    <w:p w14:paraId="33A94A55" w14:textId="77777777" w:rsidR="009F1295" w:rsidRPr="00FA0025" w:rsidRDefault="009F1295" w:rsidP="00FA0025">
      <w:pPr>
        <w:pStyle w:val="ListParagraph"/>
        <w:spacing w:after="0" w:line="360" w:lineRule="auto"/>
        <w:rPr>
          <w:rFonts w:ascii="Verdana" w:hAnsi="Verdana"/>
          <w:color w:val="000000" w:themeColor="text1"/>
          <w:sz w:val="22"/>
        </w:rPr>
      </w:pPr>
      <w:r w:rsidRPr="00FA0025">
        <w:rPr>
          <w:rFonts w:ascii="Verdana" w:hAnsi="Verdana"/>
          <w:color w:val="000000" w:themeColor="text1"/>
          <w:sz w:val="22"/>
        </w:rPr>
        <w:t xml:space="preserve"> </w:t>
      </w:r>
    </w:p>
    <w:p w14:paraId="009578F2" w14:textId="77777777" w:rsidR="009F1295" w:rsidRPr="00FA0025" w:rsidRDefault="009F1295" w:rsidP="00FA0025">
      <w:pPr>
        <w:pStyle w:val="ListParagraph"/>
        <w:numPr>
          <w:ilvl w:val="0"/>
          <w:numId w:val="5"/>
        </w:numPr>
        <w:spacing w:after="0" w:line="360" w:lineRule="auto"/>
        <w:ind w:right="0"/>
        <w:rPr>
          <w:rFonts w:ascii="Verdana" w:hAnsi="Verdana"/>
          <w:color w:val="000000" w:themeColor="text1"/>
          <w:sz w:val="22"/>
        </w:rPr>
      </w:pPr>
      <w:r w:rsidRPr="00FA0025">
        <w:rPr>
          <w:rFonts w:ascii="Verdana" w:hAnsi="Verdana"/>
          <w:color w:val="000000" w:themeColor="text1"/>
          <w:sz w:val="22"/>
        </w:rPr>
        <w:t xml:space="preserve">Judgment of 1 August 2025 Joined Cases C-422/23, C-455/23, C-459/23, C-486/23 and C-493/23 </w:t>
      </w:r>
      <w:r w:rsidRPr="00FA0025">
        <w:rPr>
          <w:rFonts w:ascii="Verdana" w:hAnsi="Verdana"/>
          <w:i/>
          <w:iCs/>
          <w:color w:val="000000" w:themeColor="text1"/>
          <w:sz w:val="22"/>
        </w:rPr>
        <w:t>T.B. and Others v C.B. and Others</w:t>
      </w:r>
      <w:r w:rsidRPr="00FA0025">
        <w:rPr>
          <w:rFonts w:ascii="Verdana" w:hAnsi="Verdana"/>
          <w:color w:val="000000" w:themeColor="text1"/>
          <w:sz w:val="22"/>
        </w:rPr>
        <w:t xml:space="preserve"> (</w:t>
      </w:r>
      <w:r w:rsidRPr="00FA0025">
        <w:rPr>
          <w:rFonts w:ascii="Verdana" w:hAnsi="Verdana"/>
          <w:i/>
          <w:iCs/>
          <w:color w:val="000000" w:themeColor="text1"/>
          <w:sz w:val="22"/>
        </w:rPr>
        <w:t>Daka</w:t>
      </w:r>
      <w:r w:rsidRPr="00FA0025">
        <w:rPr>
          <w:rFonts w:ascii="Verdana" w:hAnsi="Verdana"/>
          <w:color w:val="000000" w:themeColor="text1"/>
          <w:sz w:val="22"/>
        </w:rPr>
        <w:t>) ECLI: EU:C:2025:592(</w:t>
      </w:r>
      <w:r w:rsidRPr="00FA0025">
        <w:rPr>
          <w:rFonts w:ascii="Verdana" w:hAnsi="Verdana"/>
          <w:b/>
          <w:bCs/>
          <w:i/>
          <w:iCs/>
          <w:color w:val="000000" w:themeColor="text1"/>
          <w:sz w:val="22"/>
        </w:rPr>
        <w:t>‘Daka’</w:t>
      </w:r>
      <w:r w:rsidRPr="00FA0025">
        <w:rPr>
          <w:rFonts w:ascii="Verdana" w:hAnsi="Verdana"/>
          <w:color w:val="000000" w:themeColor="text1"/>
          <w:sz w:val="22"/>
        </w:rPr>
        <w:t>)</w:t>
      </w:r>
    </w:p>
    <w:p w14:paraId="014D9C22" w14:textId="77777777" w:rsidR="009F1295" w:rsidRPr="00FA0025" w:rsidRDefault="009F1295" w:rsidP="00FA0025">
      <w:pPr>
        <w:spacing w:after="0" w:line="360" w:lineRule="auto"/>
        <w:jc w:val="both"/>
        <w:rPr>
          <w:rFonts w:ascii="Verdana" w:hAnsi="Verdana" w:cs="Times New Roman"/>
          <w:color w:val="000000" w:themeColor="text1"/>
        </w:rPr>
      </w:pPr>
    </w:p>
    <w:p w14:paraId="196B6B05" w14:textId="77777777" w:rsidR="009F1295" w:rsidRPr="00FA0025" w:rsidRDefault="009F1295" w:rsidP="00FA0025">
      <w:pPr>
        <w:pStyle w:val="ListParagraph"/>
        <w:numPr>
          <w:ilvl w:val="0"/>
          <w:numId w:val="5"/>
        </w:numPr>
        <w:spacing w:after="0" w:line="360" w:lineRule="auto"/>
        <w:ind w:right="0"/>
        <w:rPr>
          <w:rFonts w:ascii="Verdana" w:hAnsi="Verdana"/>
          <w:color w:val="000000" w:themeColor="text1"/>
          <w:sz w:val="22"/>
        </w:rPr>
      </w:pPr>
      <w:r w:rsidRPr="00FA0025">
        <w:rPr>
          <w:rFonts w:ascii="Verdana" w:hAnsi="Verdana"/>
          <w:color w:val="000000" w:themeColor="text1"/>
          <w:sz w:val="22"/>
        </w:rPr>
        <w:t xml:space="preserve">Judgment of 4 September 2025 Case C-225/22 </w:t>
      </w:r>
      <w:r w:rsidRPr="00FA0025">
        <w:rPr>
          <w:rFonts w:ascii="Verdana" w:hAnsi="Verdana"/>
          <w:i/>
          <w:iCs/>
          <w:color w:val="000000" w:themeColor="text1"/>
          <w:sz w:val="22"/>
        </w:rPr>
        <w:t xml:space="preserve">R’ S.A. v AW ‘T’ sp. z </w:t>
      </w:r>
      <w:proofErr w:type="spellStart"/>
      <w:r w:rsidRPr="00FA0025">
        <w:rPr>
          <w:rFonts w:ascii="Verdana" w:hAnsi="Verdana"/>
          <w:i/>
          <w:iCs/>
          <w:color w:val="000000" w:themeColor="text1"/>
          <w:sz w:val="22"/>
        </w:rPr>
        <w:t>o.o.</w:t>
      </w:r>
      <w:proofErr w:type="spellEnd"/>
      <w:r w:rsidRPr="00FA0025">
        <w:rPr>
          <w:rFonts w:ascii="Verdana" w:hAnsi="Verdana"/>
          <w:i/>
          <w:iCs/>
          <w:color w:val="000000" w:themeColor="text1"/>
          <w:sz w:val="22"/>
        </w:rPr>
        <w:t xml:space="preserve"> </w:t>
      </w:r>
      <w:r w:rsidRPr="00FA0025">
        <w:rPr>
          <w:rFonts w:ascii="Verdana" w:hAnsi="Verdana"/>
          <w:color w:val="000000" w:themeColor="text1"/>
          <w:sz w:val="22"/>
        </w:rPr>
        <w:t>ECLI:EU:C:2025:649 (</w:t>
      </w:r>
      <w:r w:rsidRPr="00FA0025">
        <w:rPr>
          <w:rFonts w:ascii="Verdana" w:hAnsi="Verdana"/>
          <w:b/>
          <w:bCs/>
          <w:i/>
          <w:iCs/>
          <w:color w:val="000000" w:themeColor="text1"/>
          <w:sz w:val="22"/>
        </w:rPr>
        <w:t>‘RSA’</w:t>
      </w:r>
      <w:r w:rsidRPr="00FA0025">
        <w:rPr>
          <w:rFonts w:ascii="Verdana" w:hAnsi="Verdana"/>
          <w:color w:val="000000" w:themeColor="text1"/>
          <w:sz w:val="22"/>
        </w:rPr>
        <w:t>)</w:t>
      </w:r>
    </w:p>
    <w:p w14:paraId="48F5534D" w14:textId="77777777" w:rsidR="009F1295" w:rsidRPr="00FA0025" w:rsidRDefault="009F1295" w:rsidP="00FA0025">
      <w:pPr>
        <w:spacing w:after="0" w:line="360" w:lineRule="auto"/>
        <w:jc w:val="both"/>
        <w:rPr>
          <w:rFonts w:ascii="Verdana" w:hAnsi="Verdana" w:cs="Times New Roman"/>
          <w:color w:val="000000" w:themeColor="text1"/>
        </w:rPr>
      </w:pPr>
    </w:p>
    <w:p w14:paraId="0689902C" w14:textId="77777777" w:rsidR="009F1295" w:rsidRPr="00FA0025" w:rsidRDefault="009F1295" w:rsidP="00FA0025">
      <w:pPr>
        <w:pStyle w:val="ListParagraph"/>
        <w:numPr>
          <w:ilvl w:val="0"/>
          <w:numId w:val="5"/>
        </w:numPr>
        <w:spacing w:after="0" w:line="360" w:lineRule="auto"/>
        <w:ind w:right="0"/>
        <w:rPr>
          <w:rFonts w:ascii="Verdana" w:hAnsi="Verdana"/>
          <w:color w:val="000000" w:themeColor="text1"/>
          <w:sz w:val="22"/>
        </w:rPr>
      </w:pPr>
      <w:r w:rsidRPr="00FA0025">
        <w:rPr>
          <w:rFonts w:ascii="Verdana" w:hAnsi="Verdana"/>
          <w:color w:val="000000" w:themeColor="text1"/>
          <w:sz w:val="22"/>
        </w:rPr>
        <w:t xml:space="preserve">Judgment of 18 December 2025 C-448/23 </w:t>
      </w:r>
      <w:r w:rsidRPr="00FA0025">
        <w:rPr>
          <w:rFonts w:ascii="Verdana" w:hAnsi="Verdana"/>
          <w:i/>
          <w:iCs/>
          <w:color w:val="000000" w:themeColor="text1"/>
          <w:sz w:val="22"/>
        </w:rPr>
        <w:t xml:space="preserve">Commission v. Republic of Poland </w:t>
      </w:r>
      <w:r w:rsidRPr="00FA0025">
        <w:rPr>
          <w:rFonts w:ascii="Verdana" w:hAnsi="Verdana"/>
          <w:color w:val="000000" w:themeColor="text1"/>
          <w:sz w:val="22"/>
        </w:rPr>
        <w:t>ECLI:EU:C:2025:975 (‘</w:t>
      </w:r>
      <w:r w:rsidRPr="00FA0025">
        <w:rPr>
          <w:rFonts w:ascii="Verdana" w:hAnsi="Verdana"/>
          <w:b/>
          <w:bCs/>
          <w:i/>
          <w:iCs/>
          <w:color w:val="000000" w:themeColor="text1"/>
          <w:sz w:val="22"/>
        </w:rPr>
        <w:t>Commission v. Poland</w:t>
      </w:r>
      <w:r w:rsidRPr="00FA0025">
        <w:rPr>
          <w:rFonts w:ascii="Verdana" w:hAnsi="Verdana"/>
          <w:color w:val="000000" w:themeColor="text1"/>
          <w:sz w:val="22"/>
        </w:rPr>
        <w:t>)</w:t>
      </w:r>
    </w:p>
    <w:p w14:paraId="666CA606" w14:textId="77777777" w:rsidR="009F1295" w:rsidRPr="00FA0025" w:rsidRDefault="009F1295" w:rsidP="00FA0025">
      <w:pPr>
        <w:spacing w:after="0" w:line="360" w:lineRule="auto"/>
        <w:jc w:val="both"/>
        <w:rPr>
          <w:rFonts w:ascii="Verdana" w:hAnsi="Verdana" w:cs="Times New Roman"/>
          <w:color w:val="000000" w:themeColor="text1"/>
        </w:rPr>
      </w:pPr>
    </w:p>
    <w:p w14:paraId="712A1D4D"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I am going to say something about the 2025 cases under the following headings – judicial remuneration, assignment and withdrawal of judges and what I will loosely call constitutional doctrine.</w:t>
      </w:r>
    </w:p>
    <w:p w14:paraId="77B30D1A" w14:textId="77777777" w:rsidR="009F1295" w:rsidRPr="00FA0025" w:rsidRDefault="009F1295" w:rsidP="00FA0025">
      <w:pPr>
        <w:pStyle w:val="ListParagraph"/>
        <w:spacing w:after="0" w:line="360" w:lineRule="auto"/>
        <w:rPr>
          <w:rFonts w:ascii="Verdana" w:hAnsi="Verdana"/>
          <w:sz w:val="22"/>
        </w:rPr>
      </w:pPr>
      <w:r w:rsidRPr="00FA0025">
        <w:rPr>
          <w:rFonts w:ascii="Verdana" w:hAnsi="Verdana"/>
          <w:sz w:val="22"/>
        </w:rPr>
        <w:t xml:space="preserve"> </w:t>
      </w:r>
    </w:p>
    <w:p w14:paraId="2B0AA1A5"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 xml:space="preserve">The first of these - judicial remuneration raises difficult issues. Rules constraining interference with judicial remuneration are generally rooted in the policy against the Executive having the power to threaten a non-compliant judiciary with reductions in remuneration if they do not </w:t>
      </w:r>
      <w:r w:rsidRPr="00FA0025">
        <w:rPr>
          <w:rFonts w:ascii="Verdana" w:hAnsi="Verdana"/>
          <w:i/>
          <w:iCs/>
          <w:sz w:val="22"/>
        </w:rPr>
        <w:t xml:space="preserve">‘fall into </w:t>
      </w:r>
      <w:r w:rsidRPr="00FA0025">
        <w:rPr>
          <w:rFonts w:ascii="Verdana" w:hAnsi="Verdana"/>
          <w:i/>
          <w:iCs/>
          <w:sz w:val="22"/>
        </w:rPr>
        <w:lastRenderedPageBreak/>
        <w:t xml:space="preserve">line’. </w:t>
      </w:r>
      <w:r w:rsidRPr="00FA0025">
        <w:rPr>
          <w:rFonts w:ascii="Verdana" w:hAnsi="Verdana"/>
          <w:sz w:val="22"/>
        </w:rPr>
        <w:t>But they have two other important objectives – the maintenance of a standard of remuneration that reduces the risk of judicial corruption, and the avoidance of a situation in which the executive diminishes the status of the judicial branch by deliberately reducing the remuneration of its members. At the same time, there is a general expectation that at times of austerity judges should bear their fair share of any generally applicable reductions in public pay. All of these features of the rule – provided for by law in common law jurisdictions since the early eighteenth century – have been observed in the CJEU case law, and raised their heads in the Court’s 2025 jurisprudence.</w:t>
      </w:r>
    </w:p>
    <w:p w14:paraId="51E812E1" w14:textId="77777777" w:rsidR="009F1295" w:rsidRPr="00FA0025" w:rsidRDefault="009F1295" w:rsidP="00FA0025">
      <w:pPr>
        <w:spacing w:after="0" w:line="360" w:lineRule="auto"/>
        <w:ind w:left="360"/>
        <w:jc w:val="both"/>
        <w:rPr>
          <w:rFonts w:ascii="Verdana" w:hAnsi="Verdana" w:cs="Times New Roman"/>
          <w:b/>
          <w:bCs/>
          <w:i/>
          <w:iCs/>
        </w:rPr>
      </w:pPr>
    </w:p>
    <w:p w14:paraId="4F2916B5"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b/>
          <w:bCs/>
          <w:i/>
          <w:iCs/>
          <w:sz w:val="22"/>
        </w:rPr>
        <w:t xml:space="preserve">XL </w:t>
      </w:r>
      <w:r w:rsidRPr="00FA0025">
        <w:rPr>
          <w:rFonts w:ascii="Verdana" w:hAnsi="Verdana"/>
          <w:sz w:val="22"/>
        </w:rPr>
        <w:t xml:space="preserve">elaborated a little more on the constraints attending judicial remuneration. This is an area in which the CJEU has been somewhat more cautious than in other aspects of its judicial independence jurisprudence, such as appointment, assignment, and discipline. It has tended to postulate principles that are unremarkable, certainly to those from common law jurisdictions – reductions in judicial remuneration should not generally occur, where they do, they must be justified in a defined public </w:t>
      </w:r>
      <w:proofErr w:type="gramStart"/>
      <w:r w:rsidRPr="00FA0025">
        <w:rPr>
          <w:rFonts w:ascii="Verdana" w:hAnsi="Verdana"/>
          <w:sz w:val="22"/>
        </w:rPr>
        <w:t>interest, and</w:t>
      </w:r>
      <w:proofErr w:type="gramEnd"/>
      <w:r w:rsidRPr="00FA0025">
        <w:rPr>
          <w:rFonts w:ascii="Verdana" w:hAnsi="Verdana"/>
          <w:sz w:val="22"/>
        </w:rPr>
        <w:t xml:space="preserve"> must be proportionate thereto. But it is reticent to </w:t>
      </w:r>
      <w:proofErr w:type="gramStart"/>
      <w:r w:rsidRPr="00FA0025">
        <w:rPr>
          <w:rFonts w:ascii="Verdana" w:hAnsi="Verdana"/>
          <w:sz w:val="22"/>
        </w:rPr>
        <w:t>actually condemn</w:t>
      </w:r>
      <w:proofErr w:type="gramEnd"/>
      <w:r w:rsidRPr="00FA0025">
        <w:rPr>
          <w:rFonts w:ascii="Verdana" w:hAnsi="Verdana"/>
          <w:sz w:val="22"/>
        </w:rPr>
        <w:t xml:space="preserve"> such reductions when they do occur. The CJEU continued that approach in </w:t>
      </w:r>
      <w:r w:rsidRPr="00FA0025">
        <w:rPr>
          <w:rFonts w:ascii="Verdana" w:hAnsi="Verdana"/>
          <w:b/>
          <w:bCs/>
          <w:i/>
          <w:iCs/>
          <w:sz w:val="22"/>
        </w:rPr>
        <w:t>XL</w:t>
      </w:r>
      <w:r w:rsidRPr="00FA0025">
        <w:rPr>
          <w:rFonts w:ascii="Verdana" w:hAnsi="Verdana"/>
          <w:sz w:val="22"/>
        </w:rPr>
        <w:t>, declining the opportunity to add a significant layer of protection to the process of setting judicial remuneration.</w:t>
      </w:r>
    </w:p>
    <w:p w14:paraId="7658F6D7" w14:textId="77777777" w:rsidR="009F1295" w:rsidRPr="00FA0025" w:rsidRDefault="009F1295" w:rsidP="00FA0025">
      <w:pPr>
        <w:pStyle w:val="ListParagraph"/>
        <w:spacing w:after="0" w:line="360" w:lineRule="auto"/>
        <w:rPr>
          <w:rFonts w:ascii="Verdana" w:hAnsi="Verdana"/>
          <w:sz w:val="22"/>
        </w:rPr>
      </w:pPr>
    </w:p>
    <w:p w14:paraId="4E02952F"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The two cases arose from Article 267 references made by courts in Poland and Lithuania, respectively. In the Polish case, the objection was to amendments made to the mechanisms for determining judicial remuneration arising, it was said, from the general economic impact of Covid-19 and the invasion of Ukraine. These had the effect of freezing salaries. In the Lithuanian case, the objection was to a system in which, it was said, the determination of judicial remuneration depended on the political will of the Legislature and the Executive, and that there was no legal mechanism to set judicial remuneration commensurate with the responsibilities of the work and nature of the office. There was also an objection to the fact that the remuneration of judges could be set below that for other legal professionals.</w:t>
      </w:r>
    </w:p>
    <w:p w14:paraId="5422084F" w14:textId="77777777" w:rsidR="009F1295" w:rsidRPr="00FA0025" w:rsidRDefault="009F1295" w:rsidP="00FA0025">
      <w:pPr>
        <w:pStyle w:val="ListParagraph"/>
        <w:spacing w:after="0" w:line="360" w:lineRule="auto"/>
        <w:rPr>
          <w:rFonts w:ascii="Verdana" w:hAnsi="Verdana"/>
          <w:sz w:val="22"/>
        </w:rPr>
      </w:pPr>
      <w:r w:rsidRPr="00FA0025">
        <w:rPr>
          <w:rFonts w:ascii="Verdana" w:hAnsi="Verdana"/>
          <w:i/>
          <w:iCs/>
          <w:sz w:val="22"/>
        </w:rPr>
        <w:lastRenderedPageBreak/>
        <w:t xml:space="preserve"> </w:t>
      </w:r>
    </w:p>
    <w:p w14:paraId="38A5AF8B"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 xml:space="preserve">The CJEU’s response suggested that it did not see an issue with the specific regimes to which objection had been taken. It did, however, decide that there was no preclusion on the Legislature or the Executive deciding the levels of judicial remuneration </w:t>
      </w:r>
      <w:r w:rsidRPr="00FA0025">
        <w:rPr>
          <w:rFonts w:ascii="Verdana" w:hAnsi="Verdana"/>
          <w:i/>
          <w:iCs/>
          <w:sz w:val="22"/>
        </w:rPr>
        <w:t>provided</w:t>
      </w:r>
      <w:r w:rsidRPr="00FA0025">
        <w:rPr>
          <w:rFonts w:ascii="Verdana" w:hAnsi="Verdana"/>
          <w:sz w:val="22"/>
        </w:rPr>
        <w:t xml:space="preserve"> the basis on which this was done was prescribed for by law, was objective, foreseeable, stable and transparent, and</w:t>
      </w:r>
      <w:r w:rsidRPr="00FA0025">
        <w:rPr>
          <w:rFonts w:ascii="Verdana" w:hAnsi="Verdana"/>
          <w:i/>
          <w:iCs/>
          <w:sz w:val="22"/>
        </w:rPr>
        <w:t xml:space="preserve"> ‘ensure[d] that judges receive a level of remuneration commensurate with the importance of the functions they carry out, having regard to the economic, social and financial situation of the Member State concerned and the average salary in that Member State, and may be subject to effective Judicial Review’</w:t>
      </w:r>
      <w:r w:rsidRPr="00FA0025">
        <w:rPr>
          <w:rFonts w:ascii="Verdana" w:hAnsi="Verdana"/>
          <w:sz w:val="22"/>
        </w:rPr>
        <w:t xml:space="preserve">. The court also re-iterated what had been decided in the </w:t>
      </w:r>
      <w:r w:rsidRPr="00FA0025">
        <w:rPr>
          <w:rFonts w:ascii="Verdana" w:hAnsi="Verdana"/>
          <w:i/>
          <w:iCs/>
          <w:sz w:val="22"/>
        </w:rPr>
        <w:t>Portuguese Judges</w:t>
      </w:r>
      <w:r w:rsidRPr="00FA0025">
        <w:rPr>
          <w:rFonts w:ascii="Verdana" w:hAnsi="Verdana"/>
          <w:sz w:val="22"/>
        </w:rPr>
        <w:t xml:space="preserve"> case, that reductions in such salary had to comply with similar conditions </w:t>
      </w:r>
      <w:r w:rsidRPr="00FA0025">
        <w:rPr>
          <w:rFonts w:ascii="Verdana" w:hAnsi="Verdana"/>
          <w:i/>
          <w:iCs/>
          <w:sz w:val="22"/>
        </w:rPr>
        <w:t xml:space="preserve">and </w:t>
      </w:r>
      <w:r w:rsidRPr="00FA0025">
        <w:rPr>
          <w:rFonts w:ascii="Verdana" w:hAnsi="Verdana"/>
          <w:sz w:val="22"/>
        </w:rPr>
        <w:t>that the reductions were justified by objectives of general interest in exceptional circumstances, were proportionate and temporary.</w:t>
      </w:r>
      <w:r w:rsidRPr="00FA0025">
        <w:rPr>
          <w:rStyle w:val="FootnoteReference"/>
          <w:rFonts w:ascii="Verdana" w:hAnsi="Verdana"/>
          <w:sz w:val="22"/>
        </w:rPr>
        <w:footnoteReference w:id="18"/>
      </w:r>
    </w:p>
    <w:p w14:paraId="474C301A" w14:textId="77777777" w:rsidR="009F1295" w:rsidRPr="00FA0025" w:rsidRDefault="009F1295" w:rsidP="00FA0025">
      <w:pPr>
        <w:pStyle w:val="ListParagraph"/>
        <w:spacing w:after="0" w:line="360" w:lineRule="auto"/>
        <w:rPr>
          <w:rFonts w:ascii="Verdana" w:hAnsi="Verdana"/>
          <w:sz w:val="22"/>
        </w:rPr>
      </w:pPr>
    </w:p>
    <w:p w14:paraId="50DE2FA9"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However, the effect was to leave no scope for the proposition – accepted for example by the Supreme Court of Canada in its controversial</w:t>
      </w:r>
      <w:r w:rsidRPr="00FA0025">
        <w:rPr>
          <w:rStyle w:val="FootnoteReference"/>
          <w:rFonts w:ascii="Verdana" w:hAnsi="Verdana"/>
          <w:sz w:val="22"/>
        </w:rPr>
        <w:footnoteReference w:id="19"/>
      </w:r>
      <w:r w:rsidRPr="00FA0025">
        <w:rPr>
          <w:rFonts w:ascii="Verdana" w:hAnsi="Verdana"/>
          <w:sz w:val="22"/>
        </w:rPr>
        <w:t xml:space="preserve"> judicial independence jurisprudence – that judicial remuneration must in the first instance be considered by a body that is independent of the executive or the legislative branches, and whose decisions – while not binding – must only be over-ridden for substantive reasons.</w:t>
      </w:r>
      <w:r w:rsidRPr="00FA0025">
        <w:rPr>
          <w:rStyle w:val="FootnoteReference"/>
          <w:rFonts w:ascii="Verdana" w:hAnsi="Verdana"/>
          <w:sz w:val="22"/>
        </w:rPr>
        <w:footnoteReference w:id="20"/>
      </w:r>
      <w:r w:rsidRPr="00FA0025">
        <w:rPr>
          <w:rFonts w:ascii="Verdana" w:hAnsi="Verdana"/>
          <w:sz w:val="22"/>
        </w:rPr>
        <w:t xml:space="preserve"> . In the CJEU’s words, ‘</w:t>
      </w:r>
      <w:r w:rsidRPr="00FA0025">
        <w:rPr>
          <w:rFonts w:ascii="Verdana" w:hAnsi="Verdana"/>
          <w:i/>
          <w:iCs/>
          <w:sz w:val="22"/>
        </w:rPr>
        <w:t>[t]he mere fact that the legislature and the executive of a Member State are involved in determining judge’s remuneration is not, in itself, such as to create a dependence of those judges on the legislature or executive or to give rise to doubts as to the independence or impartiality of the judges’</w:t>
      </w:r>
      <w:r w:rsidRPr="00FA0025">
        <w:rPr>
          <w:rFonts w:ascii="Verdana" w:hAnsi="Verdana"/>
          <w:sz w:val="22"/>
        </w:rPr>
        <w:t>.</w:t>
      </w:r>
      <w:r w:rsidRPr="00FA0025">
        <w:rPr>
          <w:rStyle w:val="FootnoteReference"/>
          <w:rFonts w:ascii="Verdana" w:hAnsi="Verdana"/>
          <w:sz w:val="22"/>
        </w:rPr>
        <w:footnoteReference w:id="21"/>
      </w:r>
      <w:r w:rsidRPr="00FA0025">
        <w:rPr>
          <w:rFonts w:ascii="Verdana" w:hAnsi="Verdana"/>
          <w:sz w:val="22"/>
        </w:rPr>
        <w:t xml:space="preserve"> The court preferred, instead, to look to the more general and flexible guidance provided by the United Nations and Council of Europe bodies in </w:t>
      </w:r>
      <w:r w:rsidRPr="00FA0025">
        <w:rPr>
          <w:rFonts w:ascii="Verdana" w:hAnsi="Verdana"/>
          <w:sz w:val="22"/>
        </w:rPr>
        <w:lastRenderedPageBreak/>
        <w:t>guiding the interpretation of this aspect of EU law.</w:t>
      </w:r>
      <w:r w:rsidRPr="00FA0025">
        <w:rPr>
          <w:rStyle w:val="FootnoteReference"/>
          <w:rFonts w:ascii="Verdana" w:hAnsi="Verdana"/>
          <w:sz w:val="22"/>
        </w:rPr>
        <w:footnoteReference w:id="22"/>
      </w:r>
      <w:r w:rsidRPr="00FA0025">
        <w:rPr>
          <w:rFonts w:ascii="Verdana" w:hAnsi="Verdana"/>
          <w:sz w:val="22"/>
        </w:rPr>
        <w:t xml:space="preserve"> These required that rules for the fixing of judicial remuneration be determined by law, be objective, foreseeable, stable and transparent.</w:t>
      </w:r>
      <w:r w:rsidRPr="00FA0025">
        <w:rPr>
          <w:rStyle w:val="FootnoteReference"/>
          <w:rFonts w:ascii="Verdana" w:hAnsi="Verdana"/>
          <w:sz w:val="22"/>
        </w:rPr>
        <w:footnoteReference w:id="23"/>
      </w:r>
      <w:r w:rsidRPr="00FA0025">
        <w:rPr>
          <w:rFonts w:ascii="Verdana" w:hAnsi="Verdana"/>
          <w:sz w:val="22"/>
        </w:rPr>
        <w:t xml:space="preserve"> They did not, however, require any particular relationship to the remuneration of legal professionals more generally, stressing that practising lawyers were in a different position from judges.</w:t>
      </w:r>
    </w:p>
    <w:p w14:paraId="76D7348B" w14:textId="77777777" w:rsidR="009F1295" w:rsidRPr="00FA0025" w:rsidRDefault="009F1295" w:rsidP="00FA0025">
      <w:pPr>
        <w:pStyle w:val="ListParagraph"/>
        <w:spacing w:after="0" w:line="360" w:lineRule="auto"/>
        <w:rPr>
          <w:rFonts w:ascii="Verdana" w:hAnsi="Verdana"/>
          <w:sz w:val="22"/>
        </w:rPr>
      </w:pPr>
    </w:p>
    <w:p w14:paraId="3907A3A5"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 xml:space="preserve">While I do not think the outcome in </w:t>
      </w:r>
      <w:r w:rsidRPr="00FA0025">
        <w:rPr>
          <w:rFonts w:ascii="Verdana" w:hAnsi="Verdana"/>
          <w:b/>
          <w:bCs/>
          <w:i/>
          <w:iCs/>
          <w:sz w:val="22"/>
        </w:rPr>
        <w:t xml:space="preserve">XL </w:t>
      </w:r>
      <w:r w:rsidRPr="00FA0025">
        <w:rPr>
          <w:rFonts w:ascii="Verdana" w:hAnsi="Verdana"/>
          <w:sz w:val="22"/>
        </w:rPr>
        <w:t xml:space="preserve">was surprising, the outcome in the Romanian case of </w:t>
      </w:r>
      <w:r w:rsidRPr="00FA0025">
        <w:rPr>
          <w:rFonts w:ascii="Verdana" w:hAnsi="Verdana"/>
          <w:b/>
          <w:bCs/>
          <w:i/>
          <w:iCs/>
          <w:sz w:val="22"/>
        </w:rPr>
        <w:t xml:space="preserve">RL </w:t>
      </w:r>
      <w:r w:rsidRPr="00FA0025">
        <w:rPr>
          <w:rFonts w:ascii="Verdana" w:hAnsi="Verdana"/>
          <w:sz w:val="22"/>
        </w:rPr>
        <w:t xml:space="preserve">– and in particular the decision to proceed to judgment without an Advocate General’s Opinion – was not as obvious. The CJEU has consistently said that reductions to remuneration effected as part of measures to address a financial crisis were permissible, if kept in place only for the duration of that crisis. In </w:t>
      </w:r>
      <w:r w:rsidRPr="00FA0025">
        <w:rPr>
          <w:rFonts w:ascii="Verdana" w:hAnsi="Verdana"/>
          <w:i/>
          <w:iCs/>
          <w:sz w:val="22"/>
        </w:rPr>
        <w:t>RL,</w:t>
      </w:r>
      <w:r w:rsidRPr="00FA0025">
        <w:rPr>
          <w:rFonts w:ascii="Verdana" w:hAnsi="Verdana"/>
          <w:sz w:val="22"/>
        </w:rPr>
        <w:t xml:space="preserve"> the reference concerned severance payments made to judges on retirement, which were first suspended in 2010, kept in place until 2023, and thereafter repealed entirely. This was found permissible insofar as ‘</w:t>
      </w:r>
      <w:r w:rsidRPr="00FA0025">
        <w:rPr>
          <w:rFonts w:ascii="Verdana" w:hAnsi="Verdana"/>
          <w:i/>
          <w:iCs/>
          <w:sz w:val="22"/>
        </w:rPr>
        <w:t>it [was] open to a Member State to adopt a legislative measure which seeks not to derogate from the basic legislation fixing judges’ remuneration in order to deal with a budgetary crisis but to amend that legislation for the future, by reducing their remuneration, in order to improve its long-term budgetary position’.</w:t>
      </w:r>
      <w:r w:rsidRPr="00FA0025">
        <w:rPr>
          <w:rStyle w:val="FootnoteReference"/>
          <w:rFonts w:ascii="Verdana" w:hAnsi="Verdana"/>
          <w:sz w:val="22"/>
        </w:rPr>
        <w:footnoteReference w:id="24"/>
      </w:r>
      <w:r w:rsidRPr="00FA0025">
        <w:rPr>
          <w:rFonts w:ascii="Verdana" w:hAnsi="Verdana"/>
          <w:sz w:val="22"/>
        </w:rPr>
        <w:t xml:space="preserve"> That is a very open-ended invitation.</w:t>
      </w:r>
      <w:r w:rsidRPr="00FA0025">
        <w:rPr>
          <w:rFonts w:ascii="Verdana" w:hAnsi="Verdana"/>
          <w:i/>
          <w:iCs/>
          <w:sz w:val="22"/>
        </w:rPr>
        <w:t xml:space="preserve"> </w:t>
      </w:r>
      <w:r w:rsidRPr="00FA0025">
        <w:rPr>
          <w:rFonts w:ascii="Verdana" w:hAnsi="Verdana"/>
          <w:sz w:val="22"/>
        </w:rPr>
        <w:t>The court, it might be observed, very much focussed on a perceived relationship between rules precluding reduction in judicial remuneration and the avoidance of judicial corruption. It also stressed that the bonus comprised but a small part of the judicial remuneration, and that the earnings of judges remained high when compared to average national salaries.</w:t>
      </w:r>
      <w:r w:rsidRPr="00FA0025">
        <w:rPr>
          <w:rStyle w:val="FootnoteReference"/>
          <w:rFonts w:ascii="Verdana" w:hAnsi="Verdana"/>
          <w:sz w:val="22"/>
        </w:rPr>
        <w:footnoteReference w:id="25"/>
      </w:r>
      <w:r w:rsidRPr="00FA0025">
        <w:rPr>
          <w:rFonts w:ascii="Verdana" w:hAnsi="Verdana"/>
          <w:sz w:val="22"/>
        </w:rPr>
        <w:t xml:space="preserve"> It is unlikely that these conclusions would have been reached in those common law jurisdictions the constitutions of which prevent reductions in judicial remuneration.</w:t>
      </w:r>
      <w:r w:rsidRPr="00FA0025">
        <w:rPr>
          <w:rStyle w:val="FootnoteReference"/>
          <w:rFonts w:ascii="Verdana" w:hAnsi="Verdana"/>
          <w:sz w:val="22"/>
        </w:rPr>
        <w:footnoteReference w:id="26"/>
      </w:r>
    </w:p>
    <w:p w14:paraId="751DC130" w14:textId="77777777" w:rsidR="009F1295" w:rsidRPr="00FA0025" w:rsidRDefault="009F1295" w:rsidP="00FA0025">
      <w:pPr>
        <w:pStyle w:val="ListParagraph"/>
        <w:spacing w:after="0" w:line="360" w:lineRule="auto"/>
        <w:rPr>
          <w:rFonts w:ascii="Verdana" w:hAnsi="Verdana"/>
          <w:sz w:val="22"/>
        </w:rPr>
      </w:pPr>
    </w:p>
    <w:p w14:paraId="11893CE3"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lastRenderedPageBreak/>
        <w:t xml:space="preserve">Turning to the issue of the assignment of judges and their withdrawal from cases, in </w:t>
      </w:r>
      <w:r w:rsidRPr="00FA0025">
        <w:rPr>
          <w:rFonts w:ascii="Verdana" w:hAnsi="Verdana"/>
          <w:b/>
          <w:bCs/>
          <w:i/>
          <w:iCs/>
          <w:sz w:val="22"/>
        </w:rPr>
        <w:t>DK</w:t>
      </w:r>
      <w:r w:rsidRPr="00FA0025">
        <w:rPr>
          <w:rFonts w:ascii="Verdana" w:hAnsi="Verdana"/>
          <w:sz w:val="22"/>
        </w:rPr>
        <w:t xml:space="preserve">, a Polish case, the court was concerned with a reference in which the issue was whether there were constraints on the ability of a national legislature to provide for the withdrawal of cases that had been assigned to a judge. It arose in the context of two criminal appeals before a Tribunal, which were included in </w:t>
      </w:r>
      <w:proofErr w:type="gramStart"/>
      <w:r w:rsidRPr="00FA0025">
        <w:rPr>
          <w:rFonts w:ascii="Verdana" w:hAnsi="Verdana"/>
          <w:sz w:val="22"/>
        </w:rPr>
        <w:t>a large number of</w:t>
      </w:r>
      <w:proofErr w:type="gramEnd"/>
      <w:r w:rsidRPr="00FA0025">
        <w:rPr>
          <w:rFonts w:ascii="Verdana" w:hAnsi="Verdana"/>
          <w:sz w:val="22"/>
        </w:rPr>
        <w:t xml:space="preserve"> cases from which a judge was reassigned. The decision to withdraw the cases was made by a body called the College of the Regional Court. The CJEU answered in the affirmative a question referred by that judge in the Polish courts as to whether national legislation under which a body of a national court may withdraw a case from a judge where the national legislation does not lay down set criteria which must guide the decision to remove the judge, or provide for the possibility of judicial review of that decision was precluded by Article 19(1) TEU.</w:t>
      </w:r>
    </w:p>
    <w:p w14:paraId="58F17A0D" w14:textId="77777777" w:rsidR="009F1295" w:rsidRPr="00FA0025" w:rsidRDefault="009F1295" w:rsidP="00FA0025">
      <w:pPr>
        <w:pStyle w:val="ListParagraph"/>
        <w:spacing w:after="0" w:line="360" w:lineRule="auto"/>
        <w:rPr>
          <w:rFonts w:ascii="Verdana" w:hAnsi="Verdana"/>
          <w:sz w:val="22"/>
        </w:rPr>
      </w:pPr>
    </w:p>
    <w:p w14:paraId="42E4174B"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There was, again, nothing surprising here. The suggestion was that the judge had been reassigned because she had raised queries about the propriety of another judge’s appointment. The rationale was straightforward: ‘</w:t>
      </w:r>
      <w:r w:rsidRPr="00FA0025">
        <w:rPr>
          <w:rFonts w:ascii="Verdana" w:hAnsi="Verdana"/>
          <w:i/>
          <w:iCs/>
          <w:sz w:val="22"/>
        </w:rPr>
        <w:t>the rules on allocation and reallocation of cases form part of the concept of a tribunal ‘established by law’, which requires not only a legal basis for the very existence of a tribunal, but also observance of the composition of the bench in each case and the existence of any other provision of domestic law which, if breached, renders the participation of one or more judges in the examination of the case irregular.’</w:t>
      </w:r>
      <w:r w:rsidRPr="00FA0025">
        <w:rPr>
          <w:rStyle w:val="FootnoteReference"/>
          <w:rFonts w:ascii="Verdana" w:hAnsi="Verdana"/>
          <w:sz w:val="22"/>
        </w:rPr>
        <w:footnoteReference w:id="27"/>
      </w:r>
      <w:r w:rsidRPr="00FA0025">
        <w:rPr>
          <w:rFonts w:ascii="Verdana" w:hAnsi="Verdana"/>
          <w:i/>
          <w:iCs/>
          <w:sz w:val="22"/>
        </w:rPr>
        <w:t xml:space="preserve"> </w:t>
      </w:r>
      <w:r w:rsidRPr="00FA0025">
        <w:rPr>
          <w:rFonts w:ascii="Verdana" w:hAnsi="Verdana"/>
          <w:sz w:val="22"/>
        </w:rPr>
        <w:t xml:space="preserve">Rules governing the composition of judicial panels must be such as to preclude any undue interference in the decision-making process relating to a given case by persons from outside the judicial panel responsible for that case. In turn, that meant that withdrawal had to be governed by objective criteria and the provision of objective reasons, otherwise the withdrawal could be arbitrary or imposed as a disguised disciplinary penalty. Those requirements were not complied with in the case of the Polish national legislation which provided for very vague criteria for re-assignment and did not require </w:t>
      </w:r>
      <w:r w:rsidRPr="00FA0025">
        <w:rPr>
          <w:rFonts w:ascii="Verdana" w:hAnsi="Verdana"/>
          <w:sz w:val="22"/>
        </w:rPr>
        <w:lastRenderedPageBreak/>
        <w:t xml:space="preserve">reasons to be furnished. The decision was, in its own terms, to be expected : the court had already decided in </w:t>
      </w:r>
      <w:r w:rsidRPr="00FA0025">
        <w:rPr>
          <w:rFonts w:ascii="Verdana" w:hAnsi="Verdana"/>
          <w:i/>
          <w:iCs/>
          <w:sz w:val="22"/>
        </w:rPr>
        <w:t>WZ</w:t>
      </w:r>
      <w:r w:rsidRPr="00FA0025">
        <w:rPr>
          <w:rFonts w:ascii="Verdana" w:hAnsi="Verdana"/>
          <w:sz w:val="22"/>
        </w:rPr>
        <w:t xml:space="preserve"> that transfers of a judge without consent from one court to another or from one division to another breached these principles.</w:t>
      </w:r>
      <w:r w:rsidRPr="00FA0025">
        <w:rPr>
          <w:rStyle w:val="FootnoteReference"/>
          <w:rFonts w:ascii="Verdana" w:hAnsi="Verdana"/>
          <w:sz w:val="22"/>
        </w:rPr>
        <w:footnoteReference w:id="28"/>
      </w:r>
    </w:p>
    <w:p w14:paraId="435E7887" w14:textId="77777777" w:rsidR="009F1295" w:rsidRPr="00FA0025" w:rsidRDefault="009F1295" w:rsidP="00FA0025">
      <w:pPr>
        <w:spacing w:after="0" w:line="360" w:lineRule="auto"/>
        <w:jc w:val="both"/>
        <w:rPr>
          <w:rFonts w:ascii="Verdana" w:hAnsi="Verdana" w:cs="Times New Roman"/>
        </w:rPr>
      </w:pPr>
    </w:p>
    <w:p w14:paraId="1A42BC8B"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 xml:space="preserve">In </w:t>
      </w:r>
      <w:r w:rsidRPr="00FA0025">
        <w:rPr>
          <w:rFonts w:ascii="Verdana" w:hAnsi="Verdana"/>
          <w:b/>
          <w:bCs/>
          <w:i/>
          <w:iCs/>
          <w:sz w:val="22"/>
        </w:rPr>
        <w:t>DAKA</w:t>
      </w:r>
      <w:r w:rsidRPr="00FA0025">
        <w:rPr>
          <w:rFonts w:ascii="Verdana" w:hAnsi="Verdana"/>
          <w:b/>
          <w:bCs/>
          <w:sz w:val="22"/>
        </w:rPr>
        <w:t xml:space="preserve">, </w:t>
      </w:r>
      <w:r w:rsidRPr="00FA0025">
        <w:rPr>
          <w:rFonts w:ascii="Verdana" w:hAnsi="Verdana"/>
          <w:sz w:val="22"/>
        </w:rPr>
        <w:t>the issue was whether the temporary assignment of judges of one division of the Polish Supreme Court, to another, was contrary to these principles.</w:t>
      </w:r>
      <w:r w:rsidRPr="00FA0025">
        <w:rPr>
          <w:rStyle w:val="FootnoteReference"/>
          <w:rFonts w:ascii="Verdana" w:hAnsi="Verdana"/>
          <w:sz w:val="22"/>
        </w:rPr>
        <w:footnoteReference w:id="29"/>
      </w:r>
      <w:r w:rsidRPr="00FA0025">
        <w:rPr>
          <w:rFonts w:ascii="Verdana" w:hAnsi="Verdana"/>
          <w:sz w:val="22"/>
        </w:rPr>
        <w:t xml:space="preserve"> The assignments were for short periods of time, and while made without the consent of or consultation with the judges, were found to be justified by the workload of the Civil Division. However, here the assignments were made by the President of the Court. In short, it was held that the </w:t>
      </w:r>
      <w:r w:rsidRPr="00FA0025">
        <w:rPr>
          <w:rFonts w:ascii="Verdana" w:hAnsi="Verdana"/>
          <w:color w:val="000000" w:themeColor="text1"/>
          <w:sz w:val="22"/>
        </w:rPr>
        <w:t>second subparagraph of Article 19(1) TEU must be interpreted as meaning that the President of a national court is not precluded from temporarily assigning judges to a different court, including one dealing with matters beyond the judge’s specialisation and where no recourse to appeal the decision is available, so long as there are legitimate reasons of proper administration present and there is legal basis for the decision.</w:t>
      </w:r>
      <w:r w:rsidRPr="00FA0025">
        <w:rPr>
          <w:rStyle w:val="FootnoteReference"/>
          <w:rFonts w:ascii="Verdana" w:hAnsi="Verdana"/>
          <w:color w:val="000000" w:themeColor="text1"/>
          <w:sz w:val="22"/>
        </w:rPr>
        <w:footnoteReference w:id="30"/>
      </w:r>
      <w:r w:rsidRPr="00FA0025">
        <w:rPr>
          <w:rFonts w:ascii="Verdana" w:hAnsi="Verdana"/>
          <w:color w:val="000000" w:themeColor="text1"/>
          <w:sz w:val="22"/>
        </w:rPr>
        <w:t xml:space="preserve"> That contrasted with the CJEU’s decision in </w:t>
      </w:r>
      <w:r w:rsidRPr="00FA0025">
        <w:rPr>
          <w:rFonts w:ascii="Verdana" w:hAnsi="Verdana"/>
          <w:i/>
          <w:iCs/>
          <w:sz w:val="22"/>
        </w:rPr>
        <w:t>WB</w:t>
      </w:r>
      <w:r w:rsidRPr="00FA0025">
        <w:rPr>
          <w:rFonts w:ascii="Verdana" w:hAnsi="Verdana"/>
          <w:sz w:val="22"/>
        </w:rPr>
        <w:t xml:space="preserve">,, where secondment for an indefinite period of time by the Minister for Justice of a judge to a criminal division was condemned. </w:t>
      </w:r>
      <w:r w:rsidRPr="00FA0025">
        <w:rPr>
          <w:rFonts w:ascii="Verdana" w:hAnsi="Verdana"/>
          <w:i/>
          <w:iCs/>
          <w:sz w:val="22"/>
        </w:rPr>
        <w:t xml:space="preserve">DAKA </w:t>
      </w:r>
      <w:r w:rsidRPr="00FA0025">
        <w:rPr>
          <w:rFonts w:ascii="Verdana" w:hAnsi="Verdana"/>
          <w:sz w:val="22"/>
        </w:rPr>
        <w:t xml:space="preserve">did not involve any evident potential for abuse, </w:t>
      </w:r>
      <w:r w:rsidRPr="00FA0025">
        <w:rPr>
          <w:rFonts w:ascii="Verdana" w:hAnsi="Verdana"/>
          <w:i/>
          <w:iCs/>
          <w:sz w:val="22"/>
        </w:rPr>
        <w:t xml:space="preserve">WB </w:t>
      </w:r>
      <w:r w:rsidRPr="00FA0025">
        <w:rPr>
          <w:rFonts w:ascii="Verdana" w:hAnsi="Verdana"/>
          <w:sz w:val="22"/>
        </w:rPr>
        <w:t>did.</w:t>
      </w:r>
    </w:p>
    <w:p w14:paraId="0D47F0BF" w14:textId="77777777" w:rsidR="009F1295" w:rsidRPr="00FA0025" w:rsidRDefault="009F1295" w:rsidP="00FA0025">
      <w:pPr>
        <w:pStyle w:val="ListParagraph"/>
        <w:spacing w:after="0" w:line="360" w:lineRule="auto"/>
        <w:rPr>
          <w:rFonts w:ascii="Verdana" w:hAnsi="Verdana"/>
          <w:sz w:val="22"/>
        </w:rPr>
      </w:pPr>
    </w:p>
    <w:p w14:paraId="1BEB9778" w14:textId="77777777" w:rsidR="009F1295" w:rsidRPr="00FA0025" w:rsidRDefault="009F1295" w:rsidP="00FA0025">
      <w:pPr>
        <w:pStyle w:val="ListParagraph"/>
        <w:numPr>
          <w:ilvl w:val="0"/>
          <w:numId w:val="3"/>
        </w:numPr>
        <w:spacing w:after="0" w:line="360" w:lineRule="auto"/>
        <w:ind w:right="0"/>
        <w:rPr>
          <w:rFonts w:ascii="Verdana" w:hAnsi="Verdana"/>
          <w:color w:val="000000" w:themeColor="text1"/>
          <w:sz w:val="22"/>
        </w:rPr>
      </w:pPr>
      <w:r w:rsidRPr="00FA0025">
        <w:rPr>
          <w:rFonts w:ascii="Verdana" w:hAnsi="Verdana"/>
          <w:sz w:val="22"/>
        </w:rPr>
        <w:t xml:space="preserve">There is an important further aspect to the decision, which our Supreme Court found important in its recent judgment in </w:t>
      </w:r>
      <w:r w:rsidRPr="00FA0025">
        <w:rPr>
          <w:rFonts w:ascii="Verdana" w:hAnsi="Verdana"/>
          <w:i/>
          <w:iCs/>
          <w:sz w:val="22"/>
        </w:rPr>
        <w:t xml:space="preserve">Scully v. Coucal </w:t>
      </w:r>
      <w:r w:rsidRPr="00FA0025">
        <w:rPr>
          <w:rFonts w:ascii="Verdana" w:hAnsi="Verdana"/>
          <w:sz w:val="22"/>
        </w:rPr>
        <w:t xml:space="preserve">[2025] IESC 51. </w:t>
      </w:r>
      <w:r w:rsidRPr="00FA0025">
        <w:rPr>
          <w:rFonts w:ascii="Verdana" w:hAnsi="Verdana"/>
          <w:i/>
          <w:iCs/>
          <w:sz w:val="22"/>
        </w:rPr>
        <w:t xml:space="preserve">Scully </w:t>
      </w:r>
      <w:r w:rsidRPr="00FA0025">
        <w:rPr>
          <w:rFonts w:ascii="Verdana" w:hAnsi="Verdana"/>
          <w:sz w:val="22"/>
        </w:rPr>
        <w:t xml:space="preserve">shows how these principles can result in the courts of one member state – in that case Ireland – reviewing the rules of another governing their judicial function. The case was concerned with whether we should have refused recognition of a Polish Civil judgment because a member of the court deciding an appeal in the case had been seconded in this way. In </w:t>
      </w:r>
      <w:r w:rsidRPr="00FA0025">
        <w:rPr>
          <w:rFonts w:ascii="Verdana" w:hAnsi="Verdana"/>
          <w:i/>
          <w:iCs/>
          <w:sz w:val="22"/>
        </w:rPr>
        <w:t>DAKA</w:t>
      </w:r>
      <w:r w:rsidRPr="00FA0025">
        <w:rPr>
          <w:rFonts w:ascii="Verdana" w:hAnsi="Verdana"/>
          <w:sz w:val="22"/>
        </w:rPr>
        <w:t xml:space="preserve"> it was held even though the President of the Supreme </w:t>
      </w:r>
      <w:r w:rsidRPr="00FA0025">
        <w:rPr>
          <w:rFonts w:ascii="Verdana" w:hAnsi="Verdana"/>
          <w:sz w:val="22"/>
        </w:rPr>
        <w:lastRenderedPageBreak/>
        <w:t>Court and President of the Civil Chamber who made the assignments had not themselves been validly appointed, this did not affect the validity of the assignments. Put another way, that</w:t>
      </w:r>
      <w:r w:rsidRPr="00FA0025">
        <w:rPr>
          <w:rFonts w:ascii="Verdana" w:hAnsi="Verdana"/>
          <w:color w:val="000000" w:themeColor="text1"/>
          <w:sz w:val="22"/>
        </w:rPr>
        <w:t xml:space="preserve"> alone did not lead to the conclusion that the judicial panels they formulated themselves were non-independent. So, the consequences of invalidity have their limits, framed it seems by a distinction between administrative and judicial acts.</w:t>
      </w:r>
    </w:p>
    <w:p w14:paraId="381EA665" w14:textId="77777777" w:rsidR="009F1295" w:rsidRPr="00FA0025" w:rsidRDefault="009F1295" w:rsidP="00FA0025">
      <w:pPr>
        <w:pStyle w:val="ListParagraph"/>
        <w:spacing w:after="0" w:line="360" w:lineRule="auto"/>
        <w:rPr>
          <w:rFonts w:ascii="Verdana" w:hAnsi="Verdana"/>
          <w:color w:val="000000" w:themeColor="text1"/>
          <w:sz w:val="22"/>
        </w:rPr>
      </w:pPr>
    </w:p>
    <w:p w14:paraId="0AE23554" w14:textId="77777777" w:rsidR="009F1295" w:rsidRPr="00FA0025" w:rsidRDefault="009F1295" w:rsidP="00FA0025">
      <w:pPr>
        <w:pStyle w:val="ListParagraph"/>
        <w:numPr>
          <w:ilvl w:val="0"/>
          <w:numId w:val="3"/>
        </w:numPr>
        <w:spacing w:after="0" w:line="360" w:lineRule="auto"/>
        <w:ind w:right="0"/>
        <w:rPr>
          <w:rFonts w:ascii="Verdana" w:hAnsi="Verdana"/>
          <w:color w:val="000000" w:themeColor="text1"/>
          <w:sz w:val="22"/>
        </w:rPr>
      </w:pPr>
      <w:r w:rsidRPr="00FA0025">
        <w:rPr>
          <w:rFonts w:ascii="Verdana" w:hAnsi="Verdana"/>
          <w:color w:val="000000" w:themeColor="text1"/>
          <w:sz w:val="22"/>
        </w:rPr>
        <w:t xml:space="preserve">Doctrine sometimes produces counterintuitive consequences, as the decision in </w:t>
      </w:r>
      <w:r w:rsidRPr="00FA0025">
        <w:rPr>
          <w:rFonts w:ascii="Verdana" w:hAnsi="Verdana"/>
          <w:i/>
          <w:iCs/>
          <w:color w:val="000000" w:themeColor="text1"/>
          <w:sz w:val="22"/>
        </w:rPr>
        <w:t xml:space="preserve">RSA </w:t>
      </w:r>
      <w:r w:rsidRPr="00FA0025">
        <w:rPr>
          <w:rFonts w:ascii="Verdana" w:hAnsi="Verdana"/>
          <w:color w:val="000000" w:themeColor="text1"/>
          <w:sz w:val="22"/>
        </w:rPr>
        <w:t>shows. The issue was the ability of a lower court to assess the independence and impartiality of a higher court, where the CJEU had already ruled that there were inadequacies in the independence of this higher court. The CJEU interpreted 19(1) TEU in light of Article 47 of the Charter as precluding legislation and case law of a Member State which requires a national court to comply with a decision of a higher court, where this higher court has been deemed by a decision of the Court of Justice to fail to meet the requirements of independence, impartiality and compliance with previously established law.</w:t>
      </w:r>
      <w:r w:rsidRPr="00FA0025">
        <w:rPr>
          <w:rStyle w:val="FootnoteReference"/>
          <w:rFonts w:ascii="Verdana" w:hAnsi="Verdana"/>
          <w:color w:val="000000" w:themeColor="text1"/>
          <w:sz w:val="22"/>
        </w:rPr>
        <w:footnoteReference w:id="31"/>
      </w:r>
      <w:r w:rsidRPr="00FA0025">
        <w:rPr>
          <w:rFonts w:ascii="Verdana" w:hAnsi="Verdana"/>
          <w:color w:val="000000" w:themeColor="text1"/>
          <w:sz w:val="22"/>
        </w:rPr>
        <w:t xml:space="preserve"> National law may not prevent the lower court from verifying the regularity of the appointment of these judges on the basis of the same factors as were taken into consideration by the CJEU. Therefore, any decision of a judicial body of last resort which fails to meet these requirements referring the case back to a lower court for re-examination, has no legal effect. Once again, the extent to which the CJEU is reaching into the domestic judicial systems merits close attention : ‘</w:t>
      </w:r>
      <w:r w:rsidRPr="00FA0025">
        <w:rPr>
          <w:rFonts w:ascii="Verdana" w:hAnsi="Verdana"/>
          <w:i/>
          <w:iCs/>
          <w:color w:val="000000" w:themeColor="text1"/>
          <w:sz w:val="22"/>
        </w:rPr>
        <w:t>no consideration based on the principle of legal certainty or linked to the alleged finality of the judgment can, in the present case, be relied on in order to prevent a court … from declaring such a decision to be null and void</w:t>
      </w:r>
      <w:r w:rsidRPr="00FA0025">
        <w:rPr>
          <w:rFonts w:ascii="Verdana" w:hAnsi="Verdana"/>
          <w:color w:val="000000" w:themeColor="text1"/>
          <w:sz w:val="22"/>
        </w:rPr>
        <w:t xml:space="preserve"> …’</w:t>
      </w:r>
      <w:r w:rsidRPr="00FA0025">
        <w:rPr>
          <w:rStyle w:val="FootnoteReference"/>
          <w:rFonts w:ascii="Verdana" w:hAnsi="Verdana"/>
          <w:color w:val="000000" w:themeColor="text1"/>
          <w:sz w:val="22"/>
        </w:rPr>
        <w:footnoteReference w:id="32"/>
      </w:r>
    </w:p>
    <w:p w14:paraId="232499AE" w14:textId="77777777" w:rsidR="009F1295" w:rsidRPr="00FA0025" w:rsidRDefault="009F1295" w:rsidP="00FA0025">
      <w:pPr>
        <w:pStyle w:val="ListParagraph"/>
        <w:spacing w:after="0" w:line="360" w:lineRule="auto"/>
        <w:rPr>
          <w:rFonts w:ascii="Verdana" w:hAnsi="Verdana"/>
          <w:color w:val="000000" w:themeColor="text1"/>
          <w:sz w:val="22"/>
        </w:rPr>
      </w:pPr>
      <w:r w:rsidRPr="00FA0025">
        <w:rPr>
          <w:rFonts w:ascii="Verdana" w:hAnsi="Verdana"/>
          <w:color w:val="000000" w:themeColor="text1"/>
          <w:sz w:val="22"/>
        </w:rPr>
        <w:t xml:space="preserve"> </w:t>
      </w:r>
    </w:p>
    <w:p w14:paraId="4E286A99" w14:textId="77777777" w:rsidR="009F1295" w:rsidRPr="00FA0025" w:rsidRDefault="009F1295" w:rsidP="00FA0025">
      <w:pPr>
        <w:pStyle w:val="ListParagraph"/>
        <w:numPr>
          <w:ilvl w:val="0"/>
          <w:numId w:val="3"/>
        </w:numPr>
        <w:spacing w:after="0" w:line="360" w:lineRule="auto"/>
        <w:ind w:right="0"/>
        <w:rPr>
          <w:rFonts w:ascii="Verdana" w:hAnsi="Verdana"/>
          <w:color w:val="000000" w:themeColor="text1"/>
          <w:sz w:val="22"/>
        </w:rPr>
      </w:pPr>
      <w:r w:rsidRPr="00FA0025">
        <w:rPr>
          <w:rFonts w:ascii="Verdana" w:hAnsi="Verdana"/>
          <w:sz w:val="22"/>
        </w:rPr>
        <w:t xml:space="preserve">The final decision – </w:t>
      </w:r>
      <w:r w:rsidRPr="00FA0025">
        <w:rPr>
          <w:rFonts w:ascii="Verdana" w:hAnsi="Verdana"/>
          <w:b/>
          <w:bCs/>
          <w:i/>
          <w:iCs/>
          <w:sz w:val="22"/>
        </w:rPr>
        <w:t>Commission v. Poland</w:t>
      </w:r>
      <w:r w:rsidRPr="00FA0025">
        <w:rPr>
          <w:rFonts w:ascii="Verdana" w:hAnsi="Verdana"/>
          <w:i/>
          <w:iCs/>
          <w:sz w:val="22"/>
        </w:rPr>
        <w:t xml:space="preserve"> </w:t>
      </w:r>
      <w:r w:rsidRPr="00FA0025">
        <w:rPr>
          <w:rFonts w:ascii="Verdana" w:hAnsi="Verdana"/>
          <w:sz w:val="22"/>
        </w:rPr>
        <w:t xml:space="preserve">- is already known, politically momentous and a crucially important summary and re-statement of the fundamental principles of EU law. It is not a decision of any legal </w:t>
      </w:r>
      <w:proofErr w:type="gramStart"/>
      <w:r w:rsidRPr="00FA0025">
        <w:rPr>
          <w:rFonts w:ascii="Verdana" w:hAnsi="Verdana"/>
          <w:sz w:val="22"/>
        </w:rPr>
        <w:t>novelty, but</w:t>
      </w:r>
      <w:proofErr w:type="gramEnd"/>
      <w:r w:rsidRPr="00FA0025">
        <w:rPr>
          <w:rFonts w:ascii="Verdana" w:hAnsi="Verdana"/>
          <w:sz w:val="22"/>
        </w:rPr>
        <w:t xml:space="preserve"> may at the same time lay some teasers for the future. There, the CJEU </w:t>
      </w:r>
      <w:r w:rsidRPr="00FA0025">
        <w:rPr>
          <w:rFonts w:ascii="Verdana" w:hAnsi="Verdana"/>
          <w:sz w:val="22"/>
        </w:rPr>
        <w:lastRenderedPageBreak/>
        <w:t>found that the Constitutional Court of Poland did not satisfy the requirements of an independent tribunal, and that it had by two decisions failed to fulfil its obligations under the Treaties.</w:t>
      </w:r>
      <w:r w:rsidRPr="00FA0025">
        <w:rPr>
          <w:rStyle w:val="FootnoteReference"/>
          <w:rFonts w:ascii="Verdana" w:hAnsi="Verdana"/>
          <w:sz w:val="22"/>
        </w:rPr>
        <w:footnoteReference w:id="33"/>
      </w:r>
      <w:r w:rsidRPr="00FA0025">
        <w:rPr>
          <w:rFonts w:ascii="Verdana" w:hAnsi="Verdana"/>
          <w:sz w:val="22"/>
        </w:rPr>
        <w:t xml:space="preserve"> This reflected an earlier decision of the European Court of Human Rights (</w:t>
      </w:r>
      <w:r w:rsidRPr="00FA0025">
        <w:rPr>
          <w:rFonts w:ascii="Verdana" w:hAnsi="Verdana"/>
          <w:i/>
          <w:iCs/>
          <w:sz w:val="22"/>
        </w:rPr>
        <w:t>‘ECtHR’</w:t>
      </w:r>
      <w:r w:rsidRPr="00FA0025">
        <w:rPr>
          <w:rFonts w:ascii="Verdana" w:hAnsi="Verdana"/>
          <w:sz w:val="22"/>
        </w:rPr>
        <w:t>).</w:t>
      </w:r>
      <w:r w:rsidRPr="00FA0025">
        <w:rPr>
          <w:rFonts w:ascii="Verdana" w:hAnsi="Verdana"/>
          <w:i/>
          <w:iCs/>
          <w:sz w:val="22"/>
        </w:rPr>
        <w:t xml:space="preserve"> </w:t>
      </w:r>
      <w:r w:rsidRPr="00FA0025">
        <w:rPr>
          <w:rFonts w:ascii="Verdana" w:hAnsi="Verdana"/>
          <w:sz w:val="22"/>
        </w:rPr>
        <w:t>Neither aspect of the ruling was unexpected: the two decisions of the Constitutional Court of 2021 had purported to find unconstitutional parts of Articles of the TEU and CJEU case law interpreting them, and the fundamental objection was by the time of the decision well-rehearsed – the appointment of three judges to the court in 2015 was wholly irregular, as was the appointment of the President of the Court in 2016, and the ECtHR had so found. Indeed, the Polish government did not defend the enforcement action.</w:t>
      </w:r>
    </w:p>
    <w:p w14:paraId="7F8E46DF" w14:textId="77777777" w:rsidR="009F1295" w:rsidRPr="00FA0025" w:rsidRDefault="009F1295" w:rsidP="00FA0025">
      <w:pPr>
        <w:pStyle w:val="ListParagraph"/>
        <w:spacing w:after="0" w:line="360" w:lineRule="auto"/>
        <w:rPr>
          <w:rFonts w:ascii="Verdana" w:hAnsi="Verdana"/>
          <w:color w:val="000000" w:themeColor="text1"/>
          <w:sz w:val="22"/>
        </w:rPr>
      </w:pPr>
    </w:p>
    <w:p w14:paraId="1041CA4E" w14:textId="77777777" w:rsidR="009F1295" w:rsidRPr="00FA0025" w:rsidRDefault="009F1295" w:rsidP="00FA0025">
      <w:pPr>
        <w:pStyle w:val="ListParagraph"/>
        <w:numPr>
          <w:ilvl w:val="0"/>
          <w:numId w:val="3"/>
        </w:numPr>
        <w:spacing w:after="0" w:line="360" w:lineRule="auto"/>
        <w:ind w:right="0"/>
        <w:rPr>
          <w:rFonts w:ascii="Verdana" w:hAnsi="Verdana"/>
          <w:color w:val="000000" w:themeColor="text1"/>
          <w:sz w:val="22"/>
        </w:rPr>
      </w:pPr>
      <w:r w:rsidRPr="00FA0025">
        <w:rPr>
          <w:rFonts w:ascii="Verdana" w:hAnsi="Verdana"/>
          <w:color w:val="000000" w:themeColor="text1"/>
          <w:sz w:val="22"/>
        </w:rPr>
        <w:t>However, the judgment is valuable insofar as it provides a restatement of fundamental principles of EU law, from the primacy of EU law, the integration of the Union order with that of Member States. It includes the following:</w:t>
      </w:r>
    </w:p>
    <w:p w14:paraId="46FADE63" w14:textId="77777777" w:rsidR="009F1295" w:rsidRPr="00FA0025" w:rsidRDefault="009F1295" w:rsidP="00FA0025">
      <w:pPr>
        <w:pStyle w:val="ListParagraph"/>
        <w:spacing w:after="0" w:line="360" w:lineRule="auto"/>
        <w:rPr>
          <w:rFonts w:ascii="Verdana" w:hAnsi="Verdana"/>
          <w:color w:val="000000" w:themeColor="text1"/>
          <w:sz w:val="22"/>
        </w:rPr>
      </w:pPr>
    </w:p>
    <w:p w14:paraId="213263D1" w14:textId="77777777" w:rsidR="009F1295" w:rsidRPr="00FA0025" w:rsidRDefault="009F1295" w:rsidP="00FA0025">
      <w:pPr>
        <w:pStyle w:val="ListParagraph"/>
        <w:spacing w:after="0" w:line="360" w:lineRule="auto"/>
        <w:ind w:left="1440"/>
        <w:rPr>
          <w:rFonts w:ascii="Verdana" w:hAnsi="Verdana"/>
          <w:color w:val="000000" w:themeColor="text1"/>
          <w:sz w:val="22"/>
        </w:rPr>
      </w:pPr>
      <w:r w:rsidRPr="00FA0025">
        <w:rPr>
          <w:rFonts w:ascii="Verdana" w:hAnsi="Verdana"/>
          <w:color w:val="000000" w:themeColor="text1"/>
          <w:sz w:val="22"/>
        </w:rPr>
        <w:t>‘</w:t>
      </w:r>
      <w:r w:rsidRPr="00FA0025">
        <w:rPr>
          <w:rFonts w:ascii="Verdana" w:hAnsi="Verdana"/>
          <w:i/>
          <w:iCs/>
          <w:color w:val="000000" w:themeColor="text1"/>
          <w:sz w:val="22"/>
        </w:rPr>
        <w:t>as regards the criteria of independence, impartiality and the previous establishment by law of courts … those requirements cannot depend on the interpretation of provisions of national law …’</w:t>
      </w:r>
      <w:r w:rsidRPr="00FA0025">
        <w:rPr>
          <w:rFonts w:ascii="Verdana" w:hAnsi="Verdana"/>
          <w:color w:val="000000" w:themeColor="text1"/>
          <w:sz w:val="22"/>
        </w:rPr>
        <w:t xml:space="preserve"> </w:t>
      </w:r>
      <w:r w:rsidRPr="00FA0025">
        <w:rPr>
          <w:rStyle w:val="FootnoteReference"/>
          <w:rFonts w:ascii="Verdana" w:hAnsi="Verdana"/>
          <w:color w:val="000000" w:themeColor="text1"/>
          <w:sz w:val="22"/>
        </w:rPr>
        <w:footnoteReference w:id="34"/>
      </w:r>
    </w:p>
    <w:p w14:paraId="252C1953" w14:textId="77777777" w:rsidR="009F1295" w:rsidRPr="00FA0025" w:rsidRDefault="009F1295" w:rsidP="00FA0025">
      <w:pPr>
        <w:pStyle w:val="ListParagraph"/>
        <w:spacing w:after="0" w:line="360" w:lineRule="auto"/>
        <w:rPr>
          <w:rFonts w:ascii="Verdana" w:hAnsi="Verdana"/>
          <w:color w:val="000000" w:themeColor="text1"/>
          <w:sz w:val="22"/>
        </w:rPr>
      </w:pPr>
    </w:p>
    <w:p w14:paraId="27D45B2C" w14:textId="77777777" w:rsidR="009F1295" w:rsidRPr="00FA0025" w:rsidRDefault="009F1295" w:rsidP="00FA0025">
      <w:pPr>
        <w:pStyle w:val="ListParagraph"/>
        <w:numPr>
          <w:ilvl w:val="0"/>
          <w:numId w:val="3"/>
        </w:numPr>
        <w:spacing w:after="0" w:line="360" w:lineRule="auto"/>
        <w:ind w:right="0"/>
        <w:rPr>
          <w:rFonts w:ascii="Verdana" w:hAnsi="Verdana"/>
          <w:color w:val="000000" w:themeColor="text1"/>
          <w:sz w:val="22"/>
        </w:rPr>
      </w:pPr>
      <w:r w:rsidRPr="00FA0025">
        <w:rPr>
          <w:rFonts w:ascii="Verdana" w:hAnsi="Verdana"/>
          <w:color w:val="000000" w:themeColor="text1"/>
          <w:sz w:val="22"/>
        </w:rPr>
        <w:t xml:space="preserve"> It also repeats a statement that has been made before, but which may, when Case C-769/22 </w:t>
      </w:r>
      <w:r w:rsidRPr="00FA0025">
        <w:rPr>
          <w:rFonts w:ascii="Verdana" w:hAnsi="Verdana"/>
          <w:i/>
          <w:iCs/>
          <w:color w:val="000000" w:themeColor="text1"/>
          <w:sz w:val="22"/>
        </w:rPr>
        <w:t>Commission v. Hungary</w:t>
      </w:r>
      <w:r w:rsidRPr="00FA0025">
        <w:rPr>
          <w:rFonts w:ascii="Verdana" w:hAnsi="Verdana"/>
          <w:color w:val="000000" w:themeColor="text1"/>
          <w:sz w:val="22"/>
        </w:rPr>
        <w:t xml:space="preserve"> comes to be decided by the Court, have some implications for the justiciability of the Article 2 TEU values:</w:t>
      </w:r>
    </w:p>
    <w:p w14:paraId="18BA6E8B" w14:textId="77777777" w:rsidR="009F1295" w:rsidRPr="00FA0025" w:rsidRDefault="009F1295" w:rsidP="00FA0025">
      <w:pPr>
        <w:pStyle w:val="ListParagraph"/>
        <w:spacing w:after="0" w:line="360" w:lineRule="auto"/>
        <w:rPr>
          <w:rFonts w:ascii="Verdana" w:hAnsi="Verdana"/>
          <w:color w:val="000000" w:themeColor="text1"/>
          <w:sz w:val="22"/>
        </w:rPr>
      </w:pPr>
    </w:p>
    <w:p w14:paraId="432F8FE1" w14:textId="77777777" w:rsidR="009F1295" w:rsidRPr="00FA0025" w:rsidRDefault="009F1295" w:rsidP="00FA0025">
      <w:pPr>
        <w:pStyle w:val="ListParagraph"/>
        <w:spacing w:after="0" w:line="360" w:lineRule="auto"/>
        <w:ind w:left="1440"/>
        <w:rPr>
          <w:rFonts w:ascii="Verdana" w:hAnsi="Verdana"/>
          <w:i/>
          <w:iCs/>
          <w:color w:val="000000" w:themeColor="text1"/>
          <w:sz w:val="22"/>
        </w:rPr>
      </w:pPr>
      <w:r w:rsidRPr="00FA0025">
        <w:rPr>
          <w:rFonts w:ascii="Verdana" w:hAnsi="Verdana"/>
          <w:color w:val="000000" w:themeColor="text1"/>
          <w:sz w:val="22"/>
        </w:rPr>
        <w:t>‘</w:t>
      </w:r>
      <w:r w:rsidRPr="00FA0025">
        <w:rPr>
          <w:rFonts w:ascii="Verdana" w:hAnsi="Verdana"/>
          <w:i/>
          <w:iCs/>
          <w:color w:val="000000" w:themeColor="text1"/>
          <w:sz w:val="22"/>
        </w:rPr>
        <w:t xml:space="preserve">Article 2 TEU is not … merely a statement of policy guidelines or </w:t>
      </w:r>
      <w:proofErr w:type="gramStart"/>
      <w:r w:rsidRPr="00FA0025">
        <w:rPr>
          <w:rFonts w:ascii="Verdana" w:hAnsi="Verdana"/>
          <w:i/>
          <w:iCs/>
          <w:color w:val="000000" w:themeColor="text1"/>
          <w:sz w:val="22"/>
        </w:rPr>
        <w:t>intentions, but</w:t>
      </w:r>
      <w:proofErr w:type="gramEnd"/>
      <w:r w:rsidRPr="00FA0025">
        <w:rPr>
          <w:rFonts w:ascii="Verdana" w:hAnsi="Verdana"/>
          <w:i/>
          <w:iCs/>
          <w:color w:val="000000" w:themeColor="text1"/>
          <w:sz w:val="22"/>
        </w:rPr>
        <w:t xml:space="preserve"> contains values which are an integral part of the very identity of the European Union as a common legal order, values which are given concrete expression in principles </w:t>
      </w:r>
      <w:r w:rsidRPr="00FA0025">
        <w:rPr>
          <w:rFonts w:ascii="Verdana" w:hAnsi="Verdana"/>
          <w:i/>
          <w:iCs/>
          <w:color w:val="000000" w:themeColor="text1"/>
          <w:sz w:val="22"/>
        </w:rPr>
        <w:lastRenderedPageBreak/>
        <w:t>containing legally binding obligations for the Member States. Compliance with those values cannot be reduced to an obligation which a candidate State must meet in order to accede to the European Union and which it may disregard after its accession …</w:t>
      </w:r>
      <w:r w:rsidRPr="00FA0025">
        <w:rPr>
          <w:rStyle w:val="FootnoteReference"/>
          <w:rFonts w:ascii="Verdana" w:hAnsi="Verdana"/>
          <w:color w:val="000000" w:themeColor="text1"/>
          <w:sz w:val="22"/>
        </w:rPr>
        <w:footnoteReference w:id="35"/>
      </w:r>
    </w:p>
    <w:p w14:paraId="12AF8C39" w14:textId="77777777" w:rsidR="009F1295" w:rsidRPr="00FA0025" w:rsidRDefault="009F1295" w:rsidP="00FA0025">
      <w:pPr>
        <w:pStyle w:val="ListParagraph"/>
        <w:spacing w:after="0" w:line="360" w:lineRule="auto"/>
        <w:ind w:left="1440"/>
        <w:rPr>
          <w:rFonts w:ascii="Verdana" w:hAnsi="Verdana"/>
          <w:i/>
          <w:iCs/>
          <w:color w:val="000000" w:themeColor="text1"/>
          <w:sz w:val="22"/>
        </w:rPr>
      </w:pPr>
    </w:p>
    <w:p w14:paraId="73A3263E" w14:textId="77777777" w:rsidR="009F1295" w:rsidRPr="00FA0025" w:rsidRDefault="009F1295" w:rsidP="00FA0025">
      <w:pPr>
        <w:pStyle w:val="ListParagraph"/>
        <w:spacing w:after="0" w:line="360" w:lineRule="auto"/>
        <w:ind w:left="1440"/>
        <w:rPr>
          <w:rFonts w:ascii="Verdana" w:hAnsi="Verdana"/>
          <w:i/>
          <w:iCs/>
          <w:color w:val="000000" w:themeColor="text1"/>
          <w:sz w:val="22"/>
        </w:rPr>
      </w:pPr>
      <w:r w:rsidRPr="00FA0025">
        <w:rPr>
          <w:rFonts w:ascii="Verdana" w:hAnsi="Verdana"/>
          <w:i/>
          <w:iCs/>
          <w:color w:val="000000" w:themeColor="text1"/>
          <w:sz w:val="22"/>
        </w:rPr>
        <w:t>… Member States are thus required to ensure that … any regression of their laws and case-law on the organisation of justice is prevented, by refraining from adopting rules which would undermine the independence of the judiciary …</w:t>
      </w:r>
      <w:r w:rsidRPr="00FA0025">
        <w:rPr>
          <w:rStyle w:val="FootnoteReference"/>
          <w:rFonts w:ascii="Verdana" w:hAnsi="Verdana"/>
          <w:color w:val="000000" w:themeColor="text1"/>
          <w:sz w:val="22"/>
        </w:rPr>
        <w:footnoteReference w:id="36"/>
      </w:r>
    </w:p>
    <w:p w14:paraId="54FF19EC" w14:textId="77777777" w:rsidR="009F1295" w:rsidRPr="00FA0025" w:rsidRDefault="009F1295" w:rsidP="00FA0025">
      <w:pPr>
        <w:pStyle w:val="ListParagraph"/>
        <w:spacing w:after="0" w:line="360" w:lineRule="auto"/>
        <w:ind w:left="1440"/>
        <w:rPr>
          <w:rFonts w:ascii="Verdana" w:hAnsi="Verdana"/>
          <w:b/>
          <w:bCs/>
          <w:i/>
          <w:iCs/>
          <w:color w:val="000000" w:themeColor="text1"/>
          <w:sz w:val="22"/>
        </w:rPr>
      </w:pPr>
    </w:p>
    <w:p w14:paraId="5992673F" w14:textId="77777777" w:rsidR="009F1295" w:rsidRPr="00FA0025" w:rsidRDefault="009F1295" w:rsidP="00FA0025">
      <w:pPr>
        <w:pStyle w:val="ListParagraph"/>
        <w:spacing w:after="0" w:line="360" w:lineRule="auto"/>
        <w:ind w:left="1440"/>
        <w:rPr>
          <w:rFonts w:ascii="Verdana" w:hAnsi="Verdana"/>
          <w:color w:val="000000" w:themeColor="text1"/>
          <w:sz w:val="22"/>
        </w:rPr>
      </w:pPr>
      <w:r w:rsidRPr="00FA0025">
        <w:rPr>
          <w:rFonts w:ascii="Verdana" w:hAnsi="Verdana"/>
          <w:i/>
          <w:iCs/>
          <w:color w:val="000000" w:themeColor="text1"/>
          <w:sz w:val="22"/>
        </w:rPr>
        <w:t xml:space="preserve">… the States enjoy </w:t>
      </w:r>
      <w:r w:rsidRPr="00FA0025">
        <w:rPr>
          <w:rFonts w:ascii="Verdana" w:hAnsi="Verdana"/>
          <w:i/>
          <w:iCs/>
          <w:color w:val="000000" w:themeColor="text1"/>
          <w:sz w:val="22"/>
          <w:u w:val="single"/>
        </w:rPr>
        <w:t>a certain degree of discretion</w:t>
      </w:r>
      <w:r w:rsidRPr="00FA0025">
        <w:rPr>
          <w:rFonts w:ascii="Verdana" w:hAnsi="Verdana"/>
          <w:i/>
          <w:iCs/>
          <w:color w:val="000000" w:themeColor="text1"/>
          <w:sz w:val="22"/>
        </w:rPr>
        <w:t xml:space="preserve"> in implementing the principles of the rule of law.’</w:t>
      </w:r>
      <w:r w:rsidRPr="00FA0025">
        <w:rPr>
          <w:rStyle w:val="FootnoteReference"/>
          <w:rFonts w:ascii="Verdana" w:hAnsi="Verdana"/>
          <w:color w:val="000000" w:themeColor="text1"/>
          <w:sz w:val="22"/>
        </w:rPr>
        <w:footnoteReference w:id="37"/>
      </w:r>
    </w:p>
    <w:p w14:paraId="608FC708" w14:textId="77777777" w:rsidR="009F1295" w:rsidRPr="00FA0025" w:rsidRDefault="009F1295" w:rsidP="00FA0025">
      <w:pPr>
        <w:pStyle w:val="ListParagraph"/>
        <w:spacing w:after="0" w:line="360" w:lineRule="auto"/>
        <w:rPr>
          <w:rFonts w:ascii="Verdana" w:hAnsi="Verdana"/>
          <w:color w:val="000000" w:themeColor="text1"/>
          <w:sz w:val="22"/>
        </w:rPr>
      </w:pPr>
      <w:r w:rsidRPr="00FA0025">
        <w:rPr>
          <w:rFonts w:ascii="Verdana" w:hAnsi="Verdana"/>
          <w:color w:val="000000" w:themeColor="text1"/>
          <w:sz w:val="22"/>
        </w:rPr>
        <w:t xml:space="preserve"> </w:t>
      </w:r>
    </w:p>
    <w:p w14:paraId="06D3745F" w14:textId="77777777" w:rsidR="009F1295" w:rsidRPr="00FA0025" w:rsidRDefault="009F1295" w:rsidP="00FA0025">
      <w:pPr>
        <w:pStyle w:val="ListParagraph"/>
        <w:numPr>
          <w:ilvl w:val="0"/>
          <w:numId w:val="3"/>
        </w:numPr>
        <w:spacing w:after="0" w:line="360" w:lineRule="auto"/>
        <w:ind w:right="0"/>
        <w:rPr>
          <w:rFonts w:ascii="Verdana" w:hAnsi="Verdana"/>
          <w:color w:val="000000" w:themeColor="text1"/>
          <w:sz w:val="22"/>
        </w:rPr>
      </w:pPr>
      <w:r w:rsidRPr="00FA0025">
        <w:rPr>
          <w:rFonts w:ascii="Verdana" w:hAnsi="Verdana"/>
          <w:color w:val="000000" w:themeColor="text1"/>
          <w:sz w:val="22"/>
        </w:rPr>
        <w:t>These statements may, as I observed, provide some clues as to where this aspect of the court’s jurisprudence will take the law from here.  They disclose the fundamental questions that surround the legal status and effect of the ‘</w:t>
      </w:r>
      <w:r w:rsidRPr="00FA0025">
        <w:rPr>
          <w:rFonts w:ascii="Verdana" w:hAnsi="Verdana"/>
          <w:i/>
          <w:iCs/>
          <w:color w:val="000000" w:themeColor="text1"/>
          <w:sz w:val="22"/>
        </w:rPr>
        <w:t>values’</w:t>
      </w:r>
      <w:r w:rsidRPr="00FA0025">
        <w:rPr>
          <w:rFonts w:ascii="Verdana" w:hAnsi="Verdana"/>
          <w:color w:val="000000" w:themeColor="text1"/>
          <w:sz w:val="22"/>
        </w:rPr>
        <w:t xml:space="preserve"> referred to in Article 2, while the almost casual statement that member states enjoy ‘</w:t>
      </w:r>
      <w:r w:rsidRPr="00FA0025">
        <w:rPr>
          <w:rFonts w:ascii="Verdana" w:hAnsi="Verdana"/>
          <w:i/>
          <w:iCs/>
          <w:color w:val="000000" w:themeColor="text1"/>
          <w:sz w:val="22"/>
        </w:rPr>
        <w:t>a certain degree of discretion</w:t>
      </w:r>
      <w:r w:rsidRPr="00FA0025">
        <w:rPr>
          <w:rFonts w:ascii="Verdana" w:hAnsi="Verdana"/>
          <w:color w:val="000000" w:themeColor="text1"/>
          <w:sz w:val="22"/>
        </w:rPr>
        <w:t>’ in implementing the principles of the rule of law demands both further reflection, and greater explanation.</w:t>
      </w:r>
    </w:p>
    <w:p w14:paraId="37F86765" w14:textId="729EE5AE" w:rsidR="00DE1099" w:rsidRPr="00FA0025" w:rsidRDefault="00DE1099" w:rsidP="00FA0025">
      <w:pPr>
        <w:spacing w:line="360" w:lineRule="auto"/>
        <w:contextualSpacing/>
        <w:jc w:val="both"/>
        <w:rPr>
          <w:rFonts w:ascii="Verdana" w:hAnsi="Verdana" w:cstheme="minorHAnsi"/>
        </w:rPr>
      </w:pPr>
    </w:p>
    <w:sectPr w:rsidR="00DE1099" w:rsidRPr="00FA002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D2C9F" w14:textId="77777777" w:rsidR="00C36E6C" w:rsidRDefault="00C36E6C" w:rsidP="0091305F">
      <w:pPr>
        <w:spacing w:after="0" w:line="240" w:lineRule="auto"/>
      </w:pPr>
      <w:r>
        <w:separator/>
      </w:r>
    </w:p>
  </w:endnote>
  <w:endnote w:type="continuationSeparator" w:id="0">
    <w:p w14:paraId="7C17283F" w14:textId="77777777" w:rsidR="00C36E6C" w:rsidRDefault="00C36E6C" w:rsidP="00913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066521"/>
      <w:docPartObj>
        <w:docPartGallery w:val="Page Numbers (Bottom of Page)"/>
        <w:docPartUnique/>
      </w:docPartObj>
    </w:sdtPr>
    <w:sdtEndPr>
      <w:rPr>
        <w:rFonts w:ascii="Verdana" w:hAnsi="Verdana"/>
        <w:noProof/>
        <w:sz w:val="18"/>
        <w:szCs w:val="18"/>
      </w:rPr>
    </w:sdtEndPr>
    <w:sdtContent>
      <w:p w14:paraId="6DFF9801" w14:textId="77777777" w:rsidR="0091305F" w:rsidRPr="0091305F" w:rsidRDefault="0091305F">
        <w:pPr>
          <w:pStyle w:val="Footer"/>
          <w:jc w:val="center"/>
          <w:rPr>
            <w:rFonts w:ascii="Verdana" w:hAnsi="Verdana"/>
            <w:sz w:val="18"/>
            <w:szCs w:val="18"/>
          </w:rPr>
        </w:pPr>
        <w:r w:rsidRPr="0091305F">
          <w:rPr>
            <w:rFonts w:ascii="Verdana" w:hAnsi="Verdana"/>
            <w:sz w:val="18"/>
            <w:szCs w:val="18"/>
          </w:rPr>
          <w:fldChar w:fldCharType="begin"/>
        </w:r>
        <w:r w:rsidRPr="0091305F">
          <w:rPr>
            <w:rFonts w:ascii="Verdana" w:hAnsi="Verdana"/>
            <w:sz w:val="18"/>
            <w:szCs w:val="18"/>
          </w:rPr>
          <w:instrText xml:space="preserve"> PAGE   \* MERGEFORMAT </w:instrText>
        </w:r>
        <w:r w:rsidRPr="0091305F">
          <w:rPr>
            <w:rFonts w:ascii="Verdana" w:hAnsi="Verdana"/>
            <w:sz w:val="18"/>
            <w:szCs w:val="18"/>
          </w:rPr>
          <w:fldChar w:fldCharType="separate"/>
        </w:r>
        <w:r w:rsidRPr="0091305F">
          <w:rPr>
            <w:rFonts w:ascii="Verdana" w:hAnsi="Verdana"/>
            <w:noProof/>
            <w:sz w:val="18"/>
            <w:szCs w:val="18"/>
          </w:rPr>
          <w:t>2</w:t>
        </w:r>
        <w:r w:rsidRPr="0091305F">
          <w:rPr>
            <w:rFonts w:ascii="Verdana" w:hAnsi="Verdana"/>
            <w:noProof/>
            <w:sz w:val="18"/>
            <w:szCs w:val="18"/>
          </w:rPr>
          <w:fldChar w:fldCharType="end"/>
        </w:r>
      </w:p>
    </w:sdtContent>
  </w:sdt>
  <w:p w14:paraId="017740E6" w14:textId="77777777" w:rsidR="0091305F" w:rsidRDefault="00913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2832" w14:textId="77777777" w:rsidR="00C36E6C" w:rsidRDefault="00C36E6C" w:rsidP="0091305F">
      <w:pPr>
        <w:spacing w:after="0" w:line="240" w:lineRule="auto"/>
      </w:pPr>
      <w:r>
        <w:separator/>
      </w:r>
    </w:p>
  </w:footnote>
  <w:footnote w:type="continuationSeparator" w:id="0">
    <w:p w14:paraId="0468297B" w14:textId="77777777" w:rsidR="00C36E6C" w:rsidRDefault="00C36E6C" w:rsidP="0091305F">
      <w:pPr>
        <w:spacing w:after="0" w:line="240" w:lineRule="auto"/>
      </w:pPr>
      <w:r>
        <w:continuationSeparator/>
      </w:r>
    </w:p>
  </w:footnote>
  <w:footnote w:id="1">
    <w:p w14:paraId="3A1730D5" w14:textId="77777777" w:rsidR="00C60E47" w:rsidRPr="00FD4167" w:rsidRDefault="00C60E47" w:rsidP="00C60E47">
      <w:pPr>
        <w:pStyle w:val="FootnoteText"/>
      </w:pPr>
      <w:r>
        <w:rPr>
          <w:rStyle w:val="FootnoteReference"/>
        </w:rPr>
        <w:footnoteRef/>
      </w:r>
      <w:r>
        <w:t xml:space="preserve"> Paper delivered on February 5</w:t>
      </w:r>
      <w:r w:rsidRPr="00FD4167">
        <w:rPr>
          <w:vertAlign w:val="superscript"/>
        </w:rPr>
        <w:t>th</w:t>
      </w:r>
      <w:r>
        <w:t xml:space="preserve"> 2026 to the Irish Centre for European Law’s </w:t>
      </w:r>
      <w:r w:rsidRPr="00FD4167">
        <w:t>“</w:t>
      </w:r>
      <w:r w:rsidRPr="00FD4167">
        <w:rPr>
          <w:i/>
          <w:iCs/>
        </w:rPr>
        <w:t>Review of the CJEU in 2025</w:t>
      </w:r>
      <w:r w:rsidRPr="00FD4167">
        <w:t>”</w:t>
      </w:r>
      <w:r>
        <w:t xml:space="preserve">.  I am grateful to my judicial assistant, Adam O’Carroll, for his assistance in researching this paper. </w:t>
      </w:r>
    </w:p>
  </w:footnote>
  <w:footnote w:id="2">
    <w:p w14:paraId="79241AA7" w14:textId="77777777" w:rsidR="009F1295" w:rsidRPr="00C33E39" w:rsidRDefault="009F1295" w:rsidP="009F1295">
      <w:pPr>
        <w:pStyle w:val="FootnoteText"/>
        <w:rPr>
          <w:lang w:val="en-GB"/>
        </w:rPr>
      </w:pPr>
      <w:r w:rsidRPr="00C33E39">
        <w:rPr>
          <w:rStyle w:val="FootnoteReference"/>
        </w:rPr>
        <w:footnoteRef/>
      </w:r>
      <w:r w:rsidRPr="00C33E39">
        <w:t xml:space="preserve"> Judgment of 27 February 2018 C-64/16 </w:t>
      </w:r>
      <w:proofErr w:type="spellStart"/>
      <w:r w:rsidRPr="00C33E39">
        <w:rPr>
          <w:i/>
          <w:iCs/>
          <w:color w:val="000000" w:themeColor="text1"/>
        </w:rPr>
        <w:t>Associação</w:t>
      </w:r>
      <w:proofErr w:type="spellEnd"/>
      <w:r w:rsidRPr="00C33E39">
        <w:rPr>
          <w:i/>
          <w:iCs/>
          <w:color w:val="000000" w:themeColor="text1"/>
        </w:rPr>
        <w:t xml:space="preserve"> </w:t>
      </w:r>
      <w:proofErr w:type="spellStart"/>
      <w:r w:rsidRPr="00C33E39">
        <w:rPr>
          <w:i/>
          <w:iCs/>
          <w:color w:val="000000" w:themeColor="text1"/>
        </w:rPr>
        <w:t>Sindical</w:t>
      </w:r>
      <w:proofErr w:type="spellEnd"/>
      <w:r w:rsidRPr="00C33E39">
        <w:rPr>
          <w:i/>
          <w:iCs/>
          <w:color w:val="000000" w:themeColor="text1"/>
        </w:rPr>
        <w:t xml:space="preserve"> dos </w:t>
      </w:r>
      <w:proofErr w:type="spellStart"/>
      <w:r w:rsidRPr="00C33E39">
        <w:rPr>
          <w:i/>
          <w:iCs/>
          <w:color w:val="000000" w:themeColor="text1"/>
        </w:rPr>
        <w:t>Juízes</w:t>
      </w:r>
      <w:proofErr w:type="spellEnd"/>
      <w:r w:rsidRPr="00C33E39">
        <w:rPr>
          <w:i/>
          <w:iCs/>
          <w:color w:val="000000" w:themeColor="text1"/>
        </w:rPr>
        <w:t xml:space="preserve"> </w:t>
      </w:r>
      <w:proofErr w:type="spellStart"/>
      <w:r w:rsidRPr="00C33E39">
        <w:rPr>
          <w:i/>
          <w:iCs/>
          <w:color w:val="000000" w:themeColor="text1"/>
        </w:rPr>
        <w:t>Portugueses</w:t>
      </w:r>
      <w:proofErr w:type="spellEnd"/>
      <w:r w:rsidRPr="00C33E39">
        <w:rPr>
          <w:i/>
          <w:iCs/>
          <w:color w:val="000000" w:themeColor="text1"/>
        </w:rPr>
        <w:t xml:space="preserve"> v. Tribunal de Contas </w:t>
      </w:r>
      <w:r w:rsidRPr="00C33E39">
        <w:t>(</w:t>
      </w:r>
      <w:r w:rsidRPr="00C33E39">
        <w:rPr>
          <w:i/>
          <w:iCs/>
        </w:rPr>
        <w:t xml:space="preserve">‘Portuguese Judges’) </w:t>
      </w:r>
      <w:r w:rsidRPr="00C33E39">
        <w:t>ECLI:EU:C:2018:117.</w:t>
      </w:r>
    </w:p>
  </w:footnote>
  <w:footnote w:id="3">
    <w:p w14:paraId="791F7712" w14:textId="77777777" w:rsidR="009F1295" w:rsidRPr="00FC37B9" w:rsidRDefault="009F1295" w:rsidP="009F1295">
      <w:pPr>
        <w:pStyle w:val="FootnoteText"/>
      </w:pPr>
      <w:r w:rsidRPr="00FC37B9">
        <w:rPr>
          <w:rStyle w:val="FootnoteReference"/>
        </w:rPr>
        <w:footnoteRef/>
      </w:r>
      <w:r w:rsidRPr="00FC37B9">
        <w:t xml:space="preserve"> </w:t>
      </w:r>
      <w:r w:rsidRPr="00C33E39">
        <w:t xml:space="preserve">Judgement of 11 July 2024 Joined Cases C-554/21, C-622/21 and C727/21 </w:t>
      </w:r>
      <w:proofErr w:type="spellStart"/>
      <w:r w:rsidRPr="00C33E39">
        <w:rPr>
          <w:i/>
          <w:iCs/>
        </w:rPr>
        <w:t>Financijska</w:t>
      </w:r>
      <w:proofErr w:type="spellEnd"/>
      <w:r w:rsidRPr="00C33E39">
        <w:rPr>
          <w:i/>
          <w:iCs/>
        </w:rPr>
        <w:t xml:space="preserve"> </w:t>
      </w:r>
      <w:proofErr w:type="spellStart"/>
      <w:r w:rsidRPr="00C33E39">
        <w:rPr>
          <w:i/>
          <w:iCs/>
        </w:rPr>
        <w:t>agencija</w:t>
      </w:r>
      <w:proofErr w:type="spellEnd"/>
      <w:r w:rsidRPr="00C33E39">
        <w:rPr>
          <w:i/>
          <w:iCs/>
        </w:rPr>
        <w:t xml:space="preserve"> v. Hann-Invest d.o.o. and Others (‘Hann-Invest’)</w:t>
      </w:r>
      <w:r w:rsidRPr="00FC37B9">
        <w:rPr>
          <w:color w:val="333333"/>
          <w:shd w:val="clear" w:color="auto" w:fill="FFFFFF"/>
        </w:rPr>
        <w:t xml:space="preserve"> </w:t>
      </w:r>
      <w:r w:rsidRPr="00C33E39">
        <w:t>ECLI:EU:C:2024:594 at para. 49.</w:t>
      </w:r>
    </w:p>
  </w:footnote>
  <w:footnote w:id="4">
    <w:p w14:paraId="4727D7DD" w14:textId="77777777" w:rsidR="009F1295" w:rsidRPr="00FC37B9" w:rsidRDefault="009F1295" w:rsidP="009F1295">
      <w:pPr>
        <w:pStyle w:val="FootnoteText"/>
        <w:rPr>
          <w:lang w:val="en-GB"/>
        </w:rPr>
      </w:pPr>
      <w:r w:rsidRPr="00FC37B9">
        <w:rPr>
          <w:rStyle w:val="FootnoteReference"/>
        </w:rPr>
        <w:footnoteRef/>
      </w:r>
      <w:r w:rsidRPr="00FC37B9">
        <w:t xml:space="preserve"> ibid at para. 50.</w:t>
      </w:r>
    </w:p>
  </w:footnote>
  <w:footnote w:id="5">
    <w:p w14:paraId="5E910988" w14:textId="77777777" w:rsidR="009F1295" w:rsidRPr="00FC37B9" w:rsidRDefault="009F1295" w:rsidP="009F1295">
      <w:pPr>
        <w:pStyle w:val="FootnoteText"/>
      </w:pPr>
      <w:r w:rsidRPr="00FC37B9">
        <w:rPr>
          <w:rStyle w:val="FootnoteReference"/>
        </w:rPr>
        <w:footnoteRef/>
      </w:r>
      <w:r w:rsidRPr="00FC37B9">
        <w:t xml:space="preserve"> </w:t>
      </w:r>
      <w:r w:rsidRPr="00C33E39">
        <w:t xml:space="preserve">ibid at para 51. See, </w:t>
      </w:r>
      <w:r w:rsidRPr="00FC37B9">
        <w:t xml:space="preserve">Lucia Serena Rossi, </w:t>
      </w:r>
      <w:r w:rsidRPr="00C33E39">
        <w:t>‘</w:t>
      </w:r>
      <w:r w:rsidRPr="00FC37B9">
        <w:t>Concretised</w:t>
      </w:r>
      <w:r w:rsidRPr="00C33E39">
        <w:t>’</w:t>
      </w:r>
      <w:r w:rsidRPr="00FC37B9">
        <w:t xml:space="preserve">, ‘Flanked’, or ‘Standalone’? Some Reflections on the Application of Article 2 TEU’ (2025) 10(1) </w:t>
      </w:r>
      <w:r w:rsidRPr="00FC37B9">
        <w:rPr>
          <w:i/>
          <w:iCs/>
        </w:rPr>
        <w:t>European Papers</w:t>
      </w:r>
      <w:r w:rsidRPr="00FC37B9">
        <w:t xml:space="preserve"> 1</w:t>
      </w:r>
      <w:r w:rsidRPr="00C33E39">
        <w:t xml:space="preserve"> at 13 and, in particular, the Judgment of 14 November 2024 Case C-197/23 </w:t>
      </w:r>
      <w:r w:rsidRPr="00FC37B9">
        <w:rPr>
          <w:i/>
          <w:iCs/>
        </w:rPr>
        <w:t>S S.A.</w:t>
      </w:r>
      <w:r w:rsidRPr="00C33E39">
        <w:rPr>
          <w:i/>
          <w:iCs/>
        </w:rPr>
        <w:t xml:space="preserve"> v. </w:t>
      </w:r>
      <w:r w:rsidRPr="00FC37B9">
        <w:rPr>
          <w:i/>
          <w:iCs/>
        </w:rPr>
        <w:t xml:space="preserve">C sp. z </w:t>
      </w:r>
      <w:proofErr w:type="spellStart"/>
      <w:r w:rsidRPr="00FC37B9">
        <w:rPr>
          <w:i/>
          <w:iCs/>
        </w:rPr>
        <w:t>o.o</w:t>
      </w:r>
      <w:r w:rsidRPr="00C33E39">
        <w:rPr>
          <w:i/>
          <w:iCs/>
        </w:rPr>
        <w:t>.</w:t>
      </w:r>
      <w:proofErr w:type="spellEnd"/>
      <w:r w:rsidRPr="00C33E39">
        <w:t xml:space="preserve"> EU:C:2024:956.</w:t>
      </w:r>
    </w:p>
  </w:footnote>
  <w:footnote w:id="6">
    <w:p w14:paraId="7D2794D9" w14:textId="77777777" w:rsidR="009F1295" w:rsidRPr="00FC37B9" w:rsidRDefault="009F1295" w:rsidP="009F1295">
      <w:pPr>
        <w:pStyle w:val="FootnoteText"/>
        <w:rPr>
          <w:lang w:val="en-GB"/>
        </w:rPr>
      </w:pPr>
      <w:r w:rsidRPr="00FC37B9">
        <w:rPr>
          <w:rStyle w:val="FootnoteReference"/>
        </w:rPr>
        <w:footnoteRef/>
      </w:r>
      <w:r w:rsidRPr="00FC37B9">
        <w:t xml:space="preserve"> </w:t>
      </w:r>
      <w:r w:rsidRPr="00C33E39">
        <w:t xml:space="preserve">Judgement of 11 July 2024 Joined Cases C-554/21, C-622/21 and C727/21 </w:t>
      </w:r>
      <w:proofErr w:type="spellStart"/>
      <w:r w:rsidRPr="00C33E39">
        <w:rPr>
          <w:i/>
          <w:iCs/>
        </w:rPr>
        <w:t>Financijska</w:t>
      </w:r>
      <w:proofErr w:type="spellEnd"/>
      <w:r w:rsidRPr="00C33E39">
        <w:rPr>
          <w:i/>
          <w:iCs/>
        </w:rPr>
        <w:t xml:space="preserve"> </w:t>
      </w:r>
      <w:proofErr w:type="spellStart"/>
      <w:r w:rsidRPr="00C33E39">
        <w:rPr>
          <w:i/>
          <w:iCs/>
        </w:rPr>
        <w:t>agencija</w:t>
      </w:r>
      <w:proofErr w:type="spellEnd"/>
      <w:r w:rsidRPr="00C33E39">
        <w:rPr>
          <w:i/>
          <w:iCs/>
        </w:rPr>
        <w:t xml:space="preserve"> v. Hann-Invest d.o.o. and Others (‘Hann-Invest’)</w:t>
      </w:r>
      <w:r w:rsidRPr="00FC37B9">
        <w:rPr>
          <w:color w:val="333333"/>
          <w:shd w:val="clear" w:color="auto" w:fill="FFFFFF"/>
        </w:rPr>
        <w:t xml:space="preserve"> </w:t>
      </w:r>
      <w:r w:rsidRPr="00C33E39">
        <w:t>ECLI:EU:C:2024:594 at para 50.</w:t>
      </w:r>
    </w:p>
  </w:footnote>
  <w:footnote w:id="7">
    <w:p w14:paraId="72863EFE" w14:textId="77777777" w:rsidR="009F1295" w:rsidRPr="00FC37B9" w:rsidRDefault="009F1295" w:rsidP="009F1295">
      <w:pPr>
        <w:pStyle w:val="FootnoteText"/>
        <w:rPr>
          <w:lang w:val="en-GB"/>
        </w:rPr>
      </w:pPr>
      <w:r w:rsidRPr="00FC37B9">
        <w:rPr>
          <w:rStyle w:val="FootnoteReference"/>
        </w:rPr>
        <w:footnoteRef/>
      </w:r>
      <w:r w:rsidRPr="00FC37B9">
        <w:t xml:space="preserve"> </w:t>
      </w:r>
      <w:r w:rsidRPr="00C33E39">
        <w:t xml:space="preserve">Judgment of 27 February 2018 C-64/16 </w:t>
      </w:r>
      <w:proofErr w:type="spellStart"/>
      <w:r w:rsidRPr="00C33E39">
        <w:rPr>
          <w:i/>
          <w:iCs/>
          <w:color w:val="000000" w:themeColor="text1"/>
        </w:rPr>
        <w:t>Associação</w:t>
      </w:r>
      <w:proofErr w:type="spellEnd"/>
      <w:r w:rsidRPr="00C33E39">
        <w:rPr>
          <w:i/>
          <w:iCs/>
          <w:color w:val="000000" w:themeColor="text1"/>
        </w:rPr>
        <w:t xml:space="preserve"> </w:t>
      </w:r>
      <w:proofErr w:type="spellStart"/>
      <w:r w:rsidRPr="00C33E39">
        <w:rPr>
          <w:i/>
          <w:iCs/>
          <w:color w:val="000000" w:themeColor="text1"/>
        </w:rPr>
        <w:t>Sindical</w:t>
      </w:r>
      <w:proofErr w:type="spellEnd"/>
      <w:r w:rsidRPr="00C33E39">
        <w:rPr>
          <w:i/>
          <w:iCs/>
          <w:color w:val="000000" w:themeColor="text1"/>
        </w:rPr>
        <w:t xml:space="preserve"> dos </w:t>
      </w:r>
      <w:proofErr w:type="spellStart"/>
      <w:r w:rsidRPr="00C33E39">
        <w:rPr>
          <w:i/>
          <w:iCs/>
          <w:color w:val="000000" w:themeColor="text1"/>
        </w:rPr>
        <w:t>Juízes</w:t>
      </w:r>
      <w:proofErr w:type="spellEnd"/>
      <w:r w:rsidRPr="00C33E39">
        <w:rPr>
          <w:i/>
          <w:iCs/>
          <w:color w:val="000000" w:themeColor="text1"/>
        </w:rPr>
        <w:t xml:space="preserve"> </w:t>
      </w:r>
      <w:proofErr w:type="spellStart"/>
      <w:r w:rsidRPr="00C33E39">
        <w:rPr>
          <w:i/>
          <w:iCs/>
          <w:color w:val="000000" w:themeColor="text1"/>
        </w:rPr>
        <w:t>Portugueses</w:t>
      </w:r>
      <w:proofErr w:type="spellEnd"/>
      <w:r w:rsidRPr="00C33E39">
        <w:rPr>
          <w:i/>
          <w:iCs/>
          <w:color w:val="000000" w:themeColor="text1"/>
        </w:rPr>
        <w:t xml:space="preserve"> v. Tribunal de Contas </w:t>
      </w:r>
      <w:r w:rsidRPr="00C33E39">
        <w:t>(</w:t>
      </w:r>
      <w:r w:rsidRPr="00C33E39">
        <w:rPr>
          <w:i/>
          <w:iCs/>
        </w:rPr>
        <w:t xml:space="preserve">‘Portuguese Judges’) </w:t>
      </w:r>
      <w:r w:rsidRPr="00C33E39">
        <w:t>ECLI:EU:</w:t>
      </w:r>
      <w:proofErr w:type="gramStart"/>
      <w:r w:rsidRPr="00C33E39">
        <w:t>C:2018:117</w:t>
      </w:r>
      <w:proofErr w:type="gramEnd"/>
      <w:r w:rsidRPr="00C33E39">
        <w:t xml:space="preserve"> at </w:t>
      </w:r>
      <w:r w:rsidRPr="00FC37B9">
        <w:t xml:space="preserve">paras. 42-45 and </w:t>
      </w:r>
      <w:r w:rsidRPr="00FC37B9">
        <w:rPr>
          <w:color w:val="000000" w:themeColor="text1"/>
        </w:rPr>
        <w:t xml:space="preserve">Judgment of 25 February 2025 Joined Cases C-146/23 and C-374/23 </w:t>
      </w:r>
      <w:r w:rsidRPr="00FC37B9">
        <w:rPr>
          <w:i/>
          <w:iCs/>
          <w:color w:val="000000" w:themeColor="text1"/>
        </w:rPr>
        <w:t>XL and</w:t>
      </w:r>
      <w:r w:rsidRPr="00C33E39">
        <w:rPr>
          <w:i/>
          <w:iCs/>
          <w:color w:val="000000" w:themeColor="text1"/>
        </w:rPr>
        <w:t xml:space="preserve"> </w:t>
      </w:r>
      <w:r w:rsidRPr="00FC37B9">
        <w:rPr>
          <w:i/>
          <w:iCs/>
          <w:color w:val="000000" w:themeColor="text1"/>
        </w:rPr>
        <w:t>Others</w:t>
      </w:r>
      <w:r w:rsidRPr="00C33E39">
        <w:rPr>
          <w:i/>
          <w:iCs/>
          <w:color w:val="000000" w:themeColor="text1"/>
        </w:rPr>
        <w:t xml:space="preserve"> v. </w:t>
      </w:r>
      <w:proofErr w:type="spellStart"/>
      <w:r w:rsidRPr="00FC37B9">
        <w:rPr>
          <w:i/>
          <w:iCs/>
          <w:color w:val="000000" w:themeColor="text1"/>
        </w:rPr>
        <w:t>Sąd</w:t>
      </w:r>
      <w:proofErr w:type="spellEnd"/>
      <w:r w:rsidRPr="00FC37B9">
        <w:rPr>
          <w:i/>
          <w:iCs/>
          <w:color w:val="000000" w:themeColor="text1"/>
        </w:rPr>
        <w:t xml:space="preserve"> </w:t>
      </w:r>
      <w:proofErr w:type="spellStart"/>
      <w:r w:rsidRPr="00FC37B9">
        <w:rPr>
          <w:i/>
          <w:iCs/>
          <w:color w:val="000000" w:themeColor="text1"/>
        </w:rPr>
        <w:t>Rejonowy</w:t>
      </w:r>
      <w:proofErr w:type="spellEnd"/>
      <w:r w:rsidRPr="00FC37B9">
        <w:rPr>
          <w:i/>
          <w:iCs/>
          <w:color w:val="000000" w:themeColor="text1"/>
        </w:rPr>
        <w:t xml:space="preserve"> w </w:t>
      </w:r>
      <w:proofErr w:type="spellStart"/>
      <w:r w:rsidRPr="00FC37B9">
        <w:rPr>
          <w:i/>
          <w:iCs/>
          <w:color w:val="000000" w:themeColor="text1"/>
        </w:rPr>
        <w:t>Białymstoku</w:t>
      </w:r>
      <w:proofErr w:type="spellEnd"/>
      <w:r w:rsidRPr="00FC37B9">
        <w:rPr>
          <w:i/>
          <w:iCs/>
          <w:color w:val="000000" w:themeColor="text1"/>
        </w:rPr>
        <w:t xml:space="preserve"> and Lietuvos Respublika </w:t>
      </w:r>
      <w:r w:rsidRPr="00FC37B9">
        <w:rPr>
          <w:color w:val="000000" w:themeColor="text1"/>
        </w:rPr>
        <w:t>ECLI:EU:</w:t>
      </w:r>
      <w:proofErr w:type="gramStart"/>
      <w:r w:rsidRPr="00FC37B9">
        <w:rPr>
          <w:color w:val="000000" w:themeColor="text1"/>
        </w:rPr>
        <w:t>C:2025:109</w:t>
      </w:r>
      <w:proofErr w:type="gramEnd"/>
      <w:r w:rsidRPr="00FC37B9">
        <w:rPr>
          <w:color w:val="000000" w:themeColor="text1"/>
        </w:rPr>
        <w:t xml:space="preserve"> at para</w:t>
      </w:r>
      <w:r w:rsidRPr="00C33E39">
        <w:rPr>
          <w:color w:val="000000" w:themeColor="text1"/>
        </w:rPr>
        <w:t>s. 13 and 49.</w:t>
      </w:r>
    </w:p>
  </w:footnote>
  <w:footnote w:id="8">
    <w:p w14:paraId="232B8159" w14:textId="77777777" w:rsidR="009F1295" w:rsidRPr="00FC37B9" w:rsidRDefault="009F1295" w:rsidP="009F1295">
      <w:pPr>
        <w:pStyle w:val="FootnoteText"/>
        <w:rPr>
          <w:lang w:val="en-GB"/>
        </w:rPr>
      </w:pPr>
      <w:r w:rsidRPr="00FC37B9">
        <w:rPr>
          <w:rStyle w:val="FootnoteReference"/>
        </w:rPr>
        <w:footnoteRef/>
      </w:r>
      <w:r w:rsidRPr="00FC37B9">
        <w:t xml:space="preserve"> </w:t>
      </w:r>
      <w:r w:rsidRPr="00C33E39">
        <w:t xml:space="preserve">Judgement of 11 July 2024 Joined Cases C-554/21, C-622/21 and C727/21 </w:t>
      </w:r>
      <w:proofErr w:type="spellStart"/>
      <w:r w:rsidRPr="00C33E39">
        <w:rPr>
          <w:i/>
          <w:iCs/>
        </w:rPr>
        <w:t>Financijska</w:t>
      </w:r>
      <w:proofErr w:type="spellEnd"/>
      <w:r w:rsidRPr="00C33E39">
        <w:rPr>
          <w:i/>
          <w:iCs/>
        </w:rPr>
        <w:t xml:space="preserve"> </w:t>
      </w:r>
      <w:proofErr w:type="spellStart"/>
      <w:r w:rsidRPr="00C33E39">
        <w:rPr>
          <w:i/>
          <w:iCs/>
        </w:rPr>
        <w:t>agencija</w:t>
      </w:r>
      <w:proofErr w:type="spellEnd"/>
      <w:r w:rsidRPr="00C33E39">
        <w:rPr>
          <w:i/>
          <w:iCs/>
        </w:rPr>
        <w:t xml:space="preserve"> v. Hann-Invest d.o.o. and Others (‘Hann-Invest’)</w:t>
      </w:r>
      <w:r w:rsidRPr="00C33E39">
        <w:rPr>
          <w:color w:val="333333"/>
          <w:shd w:val="clear" w:color="auto" w:fill="FFFFFF"/>
        </w:rPr>
        <w:t xml:space="preserve"> </w:t>
      </w:r>
      <w:r w:rsidRPr="00C33E39">
        <w:t>ECLI:EU:C:2024:594 at para. 51.</w:t>
      </w:r>
    </w:p>
  </w:footnote>
  <w:footnote w:id="9">
    <w:p w14:paraId="570DFC89" w14:textId="77777777" w:rsidR="009F1295" w:rsidRPr="00FC37B9" w:rsidRDefault="009F1295" w:rsidP="009F1295">
      <w:pPr>
        <w:pStyle w:val="FootnoteText"/>
        <w:rPr>
          <w:lang w:val="en-GB"/>
        </w:rPr>
      </w:pPr>
      <w:r w:rsidRPr="00FC37B9">
        <w:rPr>
          <w:rStyle w:val="FootnoteReference"/>
        </w:rPr>
        <w:footnoteRef/>
      </w:r>
      <w:r w:rsidRPr="00FC37B9">
        <w:t xml:space="preserve"> ibid at 51. See</w:t>
      </w:r>
      <w:proofErr w:type="gramStart"/>
      <w:r w:rsidRPr="00FC37B9">
        <w:t xml:space="preserve">, in particular, </w:t>
      </w:r>
      <w:r w:rsidRPr="00C33E39">
        <w:t>the</w:t>
      </w:r>
      <w:proofErr w:type="gramEnd"/>
      <w:r w:rsidRPr="00C33E39">
        <w:t xml:space="preserve"> Judgment of 19 November 2019 </w:t>
      </w:r>
      <w:r w:rsidRPr="00FC37B9">
        <w:t xml:space="preserve">Case C-585/18, C-624/18 and C-625/19 </w:t>
      </w:r>
      <w:r w:rsidRPr="00FC37B9">
        <w:rPr>
          <w:i/>
          <w:iCs/>
        </w:rPr>
        <w:t>A.K. and Others v. National Council of Judiciary and Supreme Court</w:t>
      </w:r>
      <w:r w:rsidRPr="00FC37B9">
        <w:t xml:space="preserve"> ECLI:EU:C:2019:982 at paras. 122-123.</w:t>
      </w:r>
    </w:p>
  </w:footnote>
  <w:footnote w:id="10">
    <w:p w14:paraId="4E9DFF5E" w14:textId="77777777" w:rsidR="009F1295" w:rsidRPr="00FC37B9" w:rsidRDefault="009F1295" w:rsidP="009F1295">
      <w:pPr>
        <w:pStyle w:val="FootnoteText"/>
        <w:rPr>
          <w:lang w:val="en-GB"/>
        </w:rPr>
      </w:pPr>
      <w:r w:rsidRPr="00FC37B9">
        <w:rPr>
          <w:rStyle w:val="FootnoteReference"/>
        </w:rPr>
        <w:footnoteRef/>
      </w:r>
      <w:r w:rsidRPr="00FC37B9">
        <w:t xml:space="preserve"> </w:t>
      </w:r>
      <w:r w:rsidRPr="00C33E39">
        <w:t xml:space="preserve">Judgement of 11 July 2024 Joined Cases C-554/21, C-622/21 and C727/21 </w:t>
      </w:r>
      <w:proofErr w:type="spellStart"/>
      <w:r w:rsidRPr="00C33E39">
        <w:rPr>
          <w:i/>
          <w:iCs/>
        </w:rPr>
        <w:t>Financijska</w:t>
      </w:r>
      <w:proofErr w:type="spellEnd"/>
      <w:r w:rsidRPr="00C33E39">
        <w:rPr>
          <w:i/>
          <w:iCs/>
        </w:rPr>
        <w:t xml:space="preserve"> </w:t>
      </w:r>
      <w:proofErr w:type="spellStart"/>
      <w:r w:rsidRPr="00C33E39">
        <w:rPr>
          <w:i/>
          <w:iCs/>
        </w:rPr>
        <w:t>agencija</w:t>
      </w:r>
      <w:proofErr w:type="spellEnd"/>
      <w:r w:rsidRPr="00C33E39">
        <w:rPr>
          <w:i/>
          <w:iCs/>
        </w:rPr>
        <w:t xml:space="preserve"> v. Hann-Invest d.o.o. and Others (‘Hann-Invest’)</w:t>
      </w:r>
      <w:r w:rsidRPr="00C33E39">
        <w:rPr>
          <w:color w:val="333333"/>
          <w:shd w:val="clear" w:color="auto" w:fill="FFFFFF"/>
        </w:rPr>
        <w:t xml:space="preserve"> </w:t>
      </w:r>
      <w:r w:rsidRPr="00C33E39">
        <w:t>ECLI:EU:C:2024:594 at para. 52.</w:t>
      </w:r>
    </w:p>
  </w:footnote>
  <w:footnote w:id="11">
    <w:p w14:paraId="1E5A8CB2" w14:textId="77777777" w:rsidR="009F1295" w:rsidRPr="00C33E39" w:rsidRDefault="009F1295" w:rsidP="009F1295">
      <w:pPr>
        <w:pStyle w:val="FootnoteText"/>
      </w:pPr>
      <w:r w:rsidRPr="00C33E39">
        <w:rPr>
          <w:rStyle w:val="FootnoteReference"/>
        </w:rPr>
        <w:footnoteRef/>
      </w:r>
      <w:r w:rsidRPr="00C33E39">
        <w:t xml:space="preserve"> Judgement of 11 July 2024 Joined Cases C-554/21, C-622/21 and C727/21 </w:t>
      </w:r>
      <w:proofErr w:type="spellStart"/>
      <w:r w:rsidRPr="00C33E39">
        <w:rPr>
          <w:i/>
          <w:iCs/>
        </w:rPr>
        <w:t>Financijska</w:t>
      </w:r>
      <w:proofErr w:type="spellEnd"/>
      <w:r w:rsidRPr="00C33E39">
        <w:rPr>
          <w:i/>
          <w:iCs/>
        </w:rPr>
        <w:t xml:space="preserve"> </w:t>
      </w:r>
      <w:proofErr w:type="spellStart"/>
      <w:r w:rsidRPr="00C33E39">
        <w:rPr>
          <w:i/>
          <w:iCs/>
        </w:rPr>
        <w:t>agencija</w:t>
      </w:r>
      <w:proofErr w:type="spellEnd"/>
      <w:r w:rsidRPr="00C33E39">
        <w:rPr>
          <w:i/>
          <w:iCs/>
        </w:rPr>
        <w:t xml:space="preserve"> v. Hann-Invest d.o.o. and Others (‘Hann-Invest’)</w:t>
      </w:r>
      <w:r w:rsidRPr="00FC37B9">
        <w:rPr>
          <w:color w:val="333333"/>
          <w:shd w:val="clear" w:color="auto" w:fill="FFFFFF"/>
        </w:rPr>
        <w:t xml:space="preserve"> </w:t>
      </w:r>
      <w:r w:rsidRPr="00C33E39">
        <w:t>ECLI:EU:C:2024:594.</w:t>
      </w:r>
    </w:p>
  </w:footnote>
  <w:footnote w:id="12">
    <w:p w14:paraId="12D45073" w14:textId="77777777" w:rsidR="009F1295" w:rsidRPr="00C33E39" w:rsidRDefault="009F1295" w:rsidP="009F1295">
      <w:pPr>
        <w:pStyle w:val="FootnoteText"/>
      </w:pPr>
      <w:r w:rsidRPr="00C33E39">
        <w:rPr>
          <w:rStyle w:val="FootnoteReference"/>
        </w:rPr>
        <w:footnoteRef/>
      </w:r>
      <w:r w:rsidRPr="00C33E39">
        <w:t xml:space="preserve"> Judgment of 26 March 2020 Cases C-542/18 and C-543/18 </w:t>
      </w:r>
      <w:r w:rsidRPr="00C33E39">
        <w:rPr>
          <w:i/>
          <w:iCs/>
        </w:rPr>
        <w:t xml:space="preserve">Erik Simpson and </w:t>
      </w:r>
      <w:proofErr w:type="gramStart"/>
      <w:r w:rsidRPr="00C33E39">
        <w:rPr>
          <w:i/>
          <w:iCs/>
        </w:rPr>
        <w:t>HG  v.</w:t>
      </w:r>
      <w:proofErr w:type="gramEnd"/>
      <w:r w:rsidRPr="00C33E39">
        <w:rPr>
          <w:i/>
          <w:iCs/>
        </w:rPr>
        <w:t xml:space="preserve"> Council of the European Union and European Commission </w:t>
      </w:r>
      <w:r w:rsidRPr="00C33E39">
        <w:t>ECLI:EU:C:2020:232 paras. 74 and 75.</w:t>
      </w:r>
    </w:p>
  </w:footnote>
  <w:footnote w:id="13">
    <w:p w14:paraId="761EFFB3" w14:textId="77777777" w:rsidR="009F1295" w:rsidRPr="00FC37B9" w:rsidRDefault="009F1295" w:rsidP="009F1295">
      <w:pPr>
        <w:pStyle w:val="FootnoteText"/>
        <w:rPr>
          <w:lang w:val="en-GB"/>
        </w:rPr>
      </w:pPr>
      <w:r w:rsidRPr="00FC37B9">
        <w:rPr>
          <w:rStyle w:val="FootnoteReference"/>
        </w:rPr>
        <w:footnoteRef/>
      </w:r>
      <w:r w:rsidRPr="00FC37B9">
        <w:t xml:space="preserve"> </w:t>
      </w:r>
      <w:r w:rsidRPr="00C33E39">
        <w:t xml:space="preserve">Judgment of 6 March 2025 </w:t>
      </w:r>
      <w:r w:rsidRPr="00C33E39">
        <w:rPr>
          <w:color w:val="000000" w:themeColor="text1"/>
        </w:rPr>
        <w:t xml:space="preserve">Joined Cases C-647/21 and C-648/21 </w:t>
      </w:r>
      <w:r w:rsidRPr="00C33E39">
        <w:rPr>
          <w:i/>
          <w:iCs/>
          <w:color w:val="000000" w:themeColor="text1"/>
        </w:rPr>
        <w:t xml:space="preserve">D. K. and Others v. </w:t>
      </w:r>
      <w:proofErr w:type="spellStart"/>
      <w:r w:rsidRPr="00C33E39">
        <w:rPr>
          <w:i/>
          <w:iCs/>
          <w:color w:val="000000" w:themeColor="text1"/>
        </w:rPr>
        <w:t>Prokuratura</w:t>
      </w:r>
      <w:proofErr w:type="spellEnd"/>
      <w:r w:rsidRPr="00C33E39">
        <w:rPr>
          <w:i/>
          <w:iCs/>
          <w:color w:val="000000" w:themeColor="text1"/>
        </w:rPr>
        <w:t xml:space="preserve"> </w:t>
      </w:r>
      <w:proofErr w:type="spellStart"/>
      <w:r w:rsidRPr="00C33E39">
        <w:rPr>
          <w:i/>
          <w:iCs/>
          <w:color w:val="000000" w:themeColor="text1"/>
        </w:rPr>
        <w:t>Rejonowa</w:t>
      </w:r>
      <w:proofErr w:type="spellEnd"/>
      <w:r w:rsidRPr="00C33E39">
        <w:rPr>
          <w:i/>
          <w:iCs/>
          <w:color w:val="000000" w:themeColor="text1"/>
        </w:rPr>
        <w:t xml:space="preserve"> w </w:t>
      </w:r>
      <w:proofErr w:type="spellStart"/>
      <w:r w:rsidRPr="00C33E39">
        <w:rPr>
          <w:i/>
          <w:iCs/>
          <w:color w:val="000000" w:themeColor="text1"/>
        </w:rPr>
        <w:t>Bytowie</w:t>
      </w:r>
      <w:proofErr w:type="spellEnd"/>
      <w:r w:rsidRPr="00C33E39">
        <w:rPr>
          <w:i/>
          <w:iCs/>
          <w:color w:val="000000" w:themeColor="text1"/>
        </w:rPr>
        <w:t xml:space="preserve"> and </w:t>
      </w:r>
      <w:proofErr w:type="spellStart"/>
      <w:r w:rsidRPr="00C33E39">
        <w:rPr>
          <w:i/>
          <w:iCs/>
          <w:color w:val="000000" w:themeColor="text1"/>
        </w:rPr>
        <w:t>Prokuratura</w:t>
      </w:r>
      <w:proofErr w:type="spellEnd"/>
      <w:r w:rsidRPr="00C33E39">
        <w:rPr>
          <w:i/>
          <w:iCs/>
          <w:color w:val="000000" w:themeColor="text1"/>
        </w:rPr>
        <w:t xml:space="preserve"> </w:t>
      </w:r>
      <w:proofErr w:type="spellStart"/>
      <w:r w:rsidRPr="00C33E39">
        <w:rPr>
          <w:i/>
          <w:iCs/>
          <w:color w:val="000000" w:themeColor="text1"/>
        </w:rPr>
        <w:t>Okręgowa</w:t>
      </w:r>
      <w:proofErr w:type="spellEnd"/>
      <w:r w:rsidRPr="00C33E39">
        <w:rPr>
          <w:i/>
          <w:iCs/>
          <w:color w:val="000000" w:themeColor="text1"/>
        </w:rPr>
        <w:t xml:space="preserve"> w </w:t>
      </w:r>
      <w:proofErr w:type="spellStart"/>
      <w:r w:rsidRPr="00C33E39">
        <w:rPr>
          <w:i/>
          <w:iCs/>
          <w:color w:val="000000" w:themeColor="text1"/>
        </w:rPr>
        <w:t>Łomży</w:t>
      </w:r>
      <w:proofErr w:type="spellEnd"/>
      <w:r w:rsidRPr="00C33E39">
        <w:rPr>
          <w:color w:val="000000" w:themeColor="text1"/>
        </w:rPr>
        <w:t>, ECLI:EU:C:2025:143 at paras. 70, 73 and 74.</w:t>
      </w:r>
    </w:p>
  </w:footnote>
  <w:footnote w:id="14">
    <w:p w14:paraId="1E447183" w14:textId="77777777" w:rsidR="009F1295" w:rsidRPr="00C33E39" w:rsidRDefault="009F1295" w:rsidP="009F1295">
      <w:pPr>
        <w:pStyle w:val="FootnoteText"/>
      </w:pPr>
      <w:r w:rsidRPr="00C33E39">
        <w:rPr>
          <w:rStyle w:val="FootnoteReference"/>
        </w:rPr>
        <w:footnoteRef/>
      </w:r>
      <w:r w:rsidRPr="00C33E39">
        <w:t xml:space="preserve"> Judgment of 6 October 2021 C-487/19 </w:t>
      </w:r>
      <w:r w:rsidRPr="00C33E39">
        <w:rPr>
          <w:i/>
          <w:iCs/>
        </w:rPr>
        <w:t>WZ (Chamber of Extraordinary Control and Public Affairs of the Supreme Court – Appointment)</w:t>
      </w:r>
      <w:r w:rsidRPr="00C33E39">
        <w:t xml:space="preserve"> ECLI:EU:C:2021:798.</w:t>
      </w:r>
    </w:p>
  </w:footnote>
  <w:footnote w:id="15">
    <w:p w14:paraId="42C36F41" w14:textId="77777777" w:rsidR="009F1295" w:rsidRPr="00C33E39" w:rsidRDefault="009F1295" w:rsidP="009F1295">
      <w:pPr>
        <w:pStyle w:val="FootnoteText"/>
      </w:pPr>
      <w:r w:rsidRPr="00C33E39">
        <w:rPr>
          <w:rStyle w:val="FootnoteReference"/>
        </w:rPr>
        <w:footnoteRef/>
      </w:r>
      <w:r w:rsidRPr="00C33E39">
        <w:rPr>
          <w:i/>
          <w:iCs/>
        </w:rPr>
        <w:t xml:space="preserve"> </w:t>
      </w:r>
      <w:r w:rsidRPr="00C33E39">
        <w:t xml:space="preserve">Judgment of 14 November 2024 C-197/23 </w:t>
      </w:r>
      <w:r w:rsidRPr="00C33E39">
        <w:rPr>
          <w:i/>
          <w:iCs/>
        </w:rPr>
        <w:t xml:space="preserve">S.S.A. v. C. sp. z </w:t>
      </w:r>
      <w:proofErr w:type="spellStart"/>
      <w:r w:rsidRPr="00C33E39">
        <w:rPr>
          <w:i/>
          <w:iCs/>
        </w:rPr>
        <w:t>o.o.</w:t>
      </w:r>
      <w:proofErr w:type="spellEnd"/>
      <w:r w:rsidRPr="00C33E39">
        <w:rPr>
          <w:i/>
          <w:iCs/>
        </w:rPr>
        <w:t xml:space="preserve"> </w:t>
      </w:r>
      <w:proofErr w:type="spellStart"/>
      <w:r w:rsidRPr="00C33E39">
        <w:rPr>
          <w:i/>
          <w:iCs/>
        </w:rPr>
        <w:t>Prokurator</w:t>
      </w:r>
      <w:proofErr w:type="spellEnd"/>
      <w:r w:rsidRPr="00C33E39">
        <w:rPr>
          <w:i/>
          <w:iCs/>
        </w:rPr>
        <w:t xml:space="preserve"> </w:t>
      </w:r>
      <w:proofErr w:type="spellStart"/>
      <w:r w:rsidRPr="00C33E39">
        <w:rPr>
          <w:i/>
          <w:iCs/>
        </w:rPr>
        <w:t>Prokuratury</w:t>
      </w:r>
      <w:proofErr w:type="spellEnd"/>
      <w:r w:rsidRPr="00C33E39">
        <w:rPr>
          <w:i/>
          <w:iCs/>
        </w:rPr>
        <w:t xml:space="preserve"> </w:t>
      </w:r>
      <w:proofErr w:type="spellStart"/>
      <w:r w:rsidRPr="00C33E39">
        <w:rPr>
          <w:i/>
          <w:iCs/>
        </w:rPr>
        <w:t>Regionalnej</w:t>
      </w:r>
      <w:proofErr w:type="spellEnd"/>
      <w:r w:rsidRPr="00C33E39">
        <w:rPr>
          <w:i/>
          <w:iCs/>
        </w:rPr>
        <w:t xml:space="preserve"> w </w:t>
      </w:r>
      <w:proofErr w:type="spellStart"/>
      <w:r w:rsidRPr="00C33E39">
        <w:rPr>
          <w:i/>
          <w:iCs/>
        </w:rPr>
        <w:t>Warszawie</w:t>
      </w:r>
      <w:proofErr w:type="spellEnd"/>
      <w:r w:rsidRPr="00C33E39">
        <w:t xml:space="preserve"> ECLI:EU:C:2024:956.</w:t>
      </w:r>
    </w:p>
  </w:footnote>
  <w:footnote w:id="16">
    <w:p w14:paraId="5E8FE116" w14:textId="77777777" w:rsidR="009F1295" w:rsidRPr="00C33E39" w:rsidRDefault="009F1295" w:rsidP="009F1295">
      <w:pPr>
        <w:pStyle w:val="FootnoteText"/>
      </w:pPr>
      <w:r w:rsidRPr="00C33E39">
        <w:rPr>
          <w:rStyle w:val="FootnoteReference"/>
        </w:rPr>
        <w:footnoteRef/>
      </w:r>
      <w:r w:rsidRPr="00C33E39">
        <w:t xml:space="preserve"> Judgment of 6 October 2021 C-487/19 </w:t>
      </w:r>
      <w:r w:rsidRPr="00C33E39">
        <w:rPr>
          <w:i/>
          <w:iCs/>
        </w:rPr>
        <w:t>WZ (Chamber of Extraordinary Control and Public Affairs of the Supreme Court – Appointment)</w:t>
      </w:r>
      <w:r w:rsidRPr="00C33E39">
        <w:t xml:space="preserve"> ECLI:EU:</w:t>
      </w:r>
      <w:proofErr w:type="gramStart"/>
      <w:r w:rsidRPr="00C33E39">
        <w:t>C:2021:798</w:t>
      </w:r>
      <w:proofErr w:type="gramEnd"/>
      <w:r w:rsidRPr="00C33E39">
        <w:t xml:space="preserve"> at paras. 154, 155 and 161.</w:t>
      </w:r>
    </w:p>
  </w:footnote>
  <w:footnote w:id="17">
    <w:p w14:paraId="50BAE5FA" w14:textId="77777777" w:rsidR="009F1295" w:rsidRPr="00C33E39" w:rsidRDefault="009F1295" w:rsidP="009F1295">
      <w:pPr>
        <w:pStyle w:val="FootnoteText"/>
      </w:pPr>
      <w:r w:rsidRPr="00C33E39">
        <w:rPr>
          <w:rStyle w:val="FootnoteReference"/>
        </w:rPr>
        <w:footnoteRef/>
      </w:r>
      <w:r w:rsidRPr="00C33E39">
        <w:t xml:space="preserve"> Andreas Knecht, ‘</w:t>
      </w:r>
      <w:r w:rsidRPr="00C33E39">
        <w:rPr>
          <w:i/>
          <w:iCs/>
        </w:rPr>
        <w:t xml:space="preserve">Tilting the Federal Balance? Rule of Law Jurisprudence Beyond Crises Mode Comment on Joined Cases C-554/21, C-622/21 and C-727/21 (Hann-Invest)’ </w:t>
      </w:r>
      <w:r w:rsidRPr="00C33E39">
        <w:t xml:space="preserve">(2025) 31(2) </w:t>
      </w:r>
      <w:r w:rsidRPr="00C33E39">
        <w:rPr>
          <w:i/>
          <w:iCs/>
        </w:rPr>
        <w:t>European Public Law</w:t>
      </w:r>
      <w:r w:rsidRPr="00C33E39">
        <w:t xml:space="preserve"> 145, 148.</w:t>
      </w:r>
    </w:p>
  </w:footnote>
  <w:footnote w:id="18">
    <w:p w14:paraId="2D15919F" w14:textId="77777777" w:rsidR="009F1295" w:rsidRPr="00C33E39" w:rsidRDefault="009F1295" w:rsidP="009F1295">
      <w:pPr>
        <w:pStyle w:val="FootnoteText"/>
        <w:rPr>
          <w:lang w:val="en-GB"/>
        </w:rPr>
      </w:pPr>
      <w:r w:rsidRPr="00C33E39">
        <w:rPr>
          <w:rStyle w:val="FootnoteReference"/>
        </w:rPr>
        <w:footnoteRef/>
      </w:r>
      <w:r w:rsidRPr="00C33E39">
        <w:t xml:space="preserve"> Judgment of 25 February 2025 </w:t>
      </w:r>
      <w:r w:rsidRPr="00C33E39">
        <w:rPr>
          <w:color w:val="000000" w:themeColor="text1"/>
        </w:rPr>
        <w:t xml:space="preserve">Joined Cases C-146/23 and C-374/23 </w:t>
      </w:r>
      <w:r w:rsidRPr="00C33E39">
        <w:rPr>
          <w:i/>
          <w:iCs/>
          <w:color w:val="000000" w:themeColor="text1"/>
        </w:rPr>
        <w:t xml:space="preserve">XL and Others v. </w:t>
      </w:r>
      <w:proofErr w:type="spellStart"/>
      <w:r w:rsidRPr="00C33E39">
        <w:rPr>
          <w:i/>
          <w:iCs/>
          <w:color w:val="000000" w:themeColor="text1"/>
        </w:rPr>
        <w:t>Sąd</w:t>
      </w:r>
      <w:proofErr w:type="spellEnd"/>
      <w:r w:rsidRPr="00C33E39">
        <w:rPr>
          <w:i/>
          <w:iCs/>
          <w:color w:val="000000" w:themeColor="text1"/>
        </w:rPr>
        <w:t xml:space="preserve"> </w:t>
      </w:r>
      <w:proofErr w:type="spellStart"/>
      <w:r w:rsidRPr="00C33E39">
        <w:rPr>
          <w:i/>
          <w:iCs/>
          <w:color w:val="000000" w:themeColor="text1"/>
        </w:rPr>
        <w:t>Rejonowy</w:t>
      </w:r>
      <w:proofErr w:type="spellEnd"/>
      <w:r w:rsidRPr="00C33E39">
        <w:rPr>
          <w:i/>
          <w:iCs/>
          <w:color w:val="000000" w:themeColor="text1"/>
        </w:rPr>
        <w:t xml:space="preserve"> w </w:t>
      </w:r>
      <w:proofErr w:type="spellStart"/>
      <w:r w:rsidRPr="00C33E39">
        <w:rPr>
          <w:i/>
          <w:iCs/>
          <w:color w:val="000000" w:themeColor="text1"/>
        </w:rPr>
        <w:t>Białymstoku</w:t>
      </w:r>
      <w:proofErr w:type="spellEnd"/>
      <w:r w:rsidRPr="00C33E39">
        <w:rPr>
          <w:i/>
          <w:iCs/>
          <w:color w:val="000000" w:themeColor="text1"/>
        </w:rPr>
        <w:t xml:space="preserve"> and Lietuvos Respublika </w:t>
      </w:r>
      <w:r w:rsidRPr="00C33E39">
        <w:rPr>
          <w:color w:val="000000" w:themeColor="text1"/>
        </w:rPr>
        <w:t>ECLI:EU:</w:t>
      </w:r>
      <w:proofErr w:type="gramStart"/>
      <w:r w:rsidRPr="00C33E39">
        <w:rPr>
          <w:color w:val="000000" w:themeColor="text1"/>
        </w:rPr>
        <w:t>C:2025:109</w:t>
      </w:r>
      <w:proofErr w:type="gramEnd"/>
      <w:r w:rsidRPr="00C33E39">
        <w:rPr>
          <w:color w:val="000000" w:themeColor="text1"/>
        </w:rPr>
        <w:t xml:space="preserve"> at para. 67.</w:t>
      </w:r>
    </w:p>
  </w:footnote>
  <w:footnote w:id="19">
    <w:p w14:paraId="2F804685" w14:textId="77777777" w:rsidR="009F1295" w:rsidRPr="00C33E39" w:rsidRDefault="009F1295" w:rsidP="009F1295">
      <w:pPr>
        <w:pStyle w:val="FootnoteText"/>
      </w:pPr>
      <w:r w:rsidRPr="00C33E39">
        <w:rPr>
          <w:rStyle w:val="FootnoteReference"/>
        </w:rPr>
        <w:footnoteRef/>
      </w:r>
      <w:r w:rsidRPr="00C33E39">
        <w:t xml:space="preserve"> See, Ed </w:t>
      </w:r>
      <w:proofErr w:type="spellStart"/>
      <w:r w:rsidRPr="00C33E39">
        <w:t>Ratushny</w:t>
      </w:r>
      <w:proofErr w:type="spellEnd"/>
      <w:r w:rsidRPr="00C33E39">
        <w:t xml:space="preserve"> and Daphne Gilbert, ‘</w:t>
      </w:r>
      <w:r w:rsidRPr="00C33E39">
        <w:rPr>
          <w:i/>
          <w:iCs/>
        </w:rPr>
        <w:t xml:space="preserve">The Lamer Legacy for Judicial Independence’ </w:t>
      </w:r>
      <w:r w:rsidRPr="00C33E39">
        <w:t xml:space="preserve">(2009) 46 </w:t>
      </w:r>
      <w:r w:rsidRPr="00C33E39">
        <w:rPr>
          <w:i/>
          <w:iCs/>
        </w:rPr>
        <w:t>Supreme Court Law</w:t>
      </w:r>
      <w:r w:rsidRPr="00C33E39">
        <w:t xml:space="preserve"> Review 29, 29.</w:t>
      </w:r>
    </w:p>
  </w:footnote>
  <w:footnote w:id="20">
    <w:p w14:paraId="671E3A46" w14:textId="77777777" w:rsidR="009F1295" w:rsidRPr="00C33E39" w:rsidRDefault="009F1295" w:rsidP="009F1295">
      <w:pPr>
        <w:pStyle w:val="FootnoteText"/>
        <w:rPr>
          <w:lang w:val="en-GB"/>
        </w:rPr>
      </w:pPr>
      <w:r w:rsidRPr="00C33E39">
        <w:rPr>
          <w:rStyle w:val="FootnoteReference"/>
        </w:rPr>
        <w:footnoteRef/>
      </w:r>
      <w:r w:rsidRPr="00C33E39">
        <w:t xml:space="preserve"> </w:t>
      </w:r>
      <w:r w:rsidRPr="00C33E39">
        <w:rPr>
          <w:i/>
          <w:iCs/>
        </w:rPr>
        <w:t xml:space="preserve">In Re a Reference Regarding the Remuneration of Judges of the Provincial Court of Prince Edward Island </w:t>
      </w:r>
      <w:r w:rsidRPr="00C33E39">
        <w:t>[1997] 3 SCR 3, at p. 13.</w:t>
      </w:r>
    </w:p>
  </w:footnote>
  <w:footnote w:id="21">
    <w:p w14:paraId="0DAE8718" w14:textId="77777777" w:rsidR="009F1295" w:rsidRPr="00C33E39" w:rsidRDefault="009F1295" w:rsidP="009F1295">
      <w:pPr>
        <w:pStyle w:val="FootnoteText"/>
        <w:rPr>
          <w:lang w:val="en-GB"/>
        </w:rPr>
      </w:pPr>
      <w:r w:rsidRPr="00C33E39">
        <w:rPr>
          <w:rStyle w:val="FootnoteReference"/>
        </w:rPr>
        <w:footnoteRef/>
      </w:r>
      <w:r w:rsidRPr="00C33E39">
        <w:t xml:space="preserve"> Judgment of 25 February 2025 </w:t>
      </w:r>
      <w:r w:rsidRPr="00C33E39">
        <w:rPr>
          <w:color w:val="000000" w:themeColor="text1"/>
        </w:rPr>
        <w:t xml:space="preserve">Joined Cases C-146/23 and C-374/23 </w:t>
      </w:r>
      <w:r w:rsidRPr="00C33E39">
        <w:rPr>
          <w:i/>
          <w:iCs/>
          <w:color w:val="000000" w:themeColor="text1"/>
        </w:rPr>
        <w:t xml:space="preserve">XL and Others v. </w:t>
      </w:r>
      <w:proofErr w:type="spellStart"/>
      <w:r w:rsidRPr="00C33E39">
        <w:rPr>
          <w:i/>
          <w:iCs/>
          <w:color w:val="000000" w:themeColor="text1"/>
        </w:rPr>
        <w:t>Sąd</w:t>
      </w:r>
      <w:proofErr w:type="spellEnd"/>
      <w:r w:rsidRPr="00C33E39">
        <w:rPr>
          <w:i/>
          <w:iCs/>
          <w:color w:val="000000" w:themeColor="text1"/>
        </w:rPr>
        <w:t xml:space="preserve"> </w:t>
      </w:r>
      <w:proofErr w:type="spellStart"/>
      <w:r w:rsidRPr="00C33E39">
        <w:rPr>
          <w:i/>
          <w:iCs/>
          <w:color w:val="000000" w:themeColor="text1"/>
        </w:rPr>
        <w:t>Rejonowy</w:t>
      </w:r>
      <w:proofErr w:type="spellEnd"/>
      <w:r w:rsidRPr="00C33E39">
        <w:rPr>
          <w:i/>
          <w:iCs/>
          <w:color w:val="000000" w:themeColor="text1"/>
        </w:rPr>
        <w:t xml:space="preserve"> w </w:t>
      </w:r>
      <w:proofErr w:type="spellStart"/>
      <w:r w:rsidRPr="00C33E39">
        <w:rPr>
          <w:i/>
          <w:iCs/>
          <w:color w:val="000000" w:themeColor="text1"/>
        </w:rPr>
        <w:t>Białymstoku</w:t>
      </w:r>
      <w:proofErr w:type="spellEnd"/>
      <w:r w:rsidRPr="00C33E39">
        <w:rPr>
          <w:i/>
          <w:iCs/>
          <w:color w:val="000000" w:themeColor="text1"/>
        </w:rPr>
        <w:t xml:space="preserve"> and Lietuvos Respublika </w:t>
      </w:r>
      <w:r w:rsidRPr="00C33E39">
        <w:rPr>
          <w:color w:val="000000" w:themeColor="text1"/>
        </w:rPr>
        <w:t>ECLI:EU:</w:t>
      </w:r>
      <w:proofErr w:type="gramStart"/>
      <w:r w:rsidRPr="00C33E39">
        <w:rPr>
          <w:color w:val="000000" w:themeColor="text1"/>
        </w:rPr>
        <w:t>C:2025:109</w:t>
      </w:r>
      <w:proofErr w:type="gramEnd"/>
      <w:r w:rsidRPr="00C33E39">
        <w:rPr>
          <w:color w:val="000000" w:themeColor="text1"/>
        </w:rPr>
        <w:t xml:space="preserve"> at para. 51.</w:t>
      </w:r>
    </w:p>
  </w:footnote>
  <w:footnote w:id="22">
    <w:p w14:paraId="7B815A43" w14:textId="77777777" w:rsidR="009F1295" w:rsidRPr="00C33E39" w:rsidRDefault="009F1295" w:rsidP="009F1295">
      <w:pPr>
        <w:pStyle w:val="FootnoteText"/>
        <w:rPr>
          <w:lang w:val="en-GB"/>
        </w:rPr>
      </w:pPr>
      <w:r w:rsidRPr="00C33E39">
        <w:rPr>
          <w:rStyle w:val="FootnoteReference"/>
        </w:rPr>
        <w:footnoteRef/>
      </w:r>
      <w:r w:rsidRPr="00C33E39">
        <w:t xml:space="preserve"> ibid,</w:t>
      </w:r>
      <w:r w:rsidRPr="00C33E39">
        <w:rPr>
          <w:color w:val="000000" w:themeColor="text1"/>
        </w:rPr>
        <w:t xml:space="preserve"> at paras. 53 and 55.</w:t>
      </w:r>
    </w:p>
  </w:footnote>
  <w:footnote w:id="23">
    <w:p w14:paraId="2C70C589" w14:textId="77777777" w:rsidR="009F1295" w:rsidRPr="00C33E39" w:rsidRDefault="009F1295" w:rsidP="009F1295">
      <w:pPr>
        <w:pStyle w:val="FootnoteText"/>
        <w:rPr>
          <w:lang w:val="en-GB"/>
        </w:rPr>
      </w:pPr>
      <w:r w:rsidRPr="00C33E39">
        <w:rPr>
          <w:rStyle w:val="FootnoteReference"/>
        </w:rPr>
        <w:footnoteRef/>
      </w:r>
      <w:r w:rsidRPr="00C33E39">
        <w:t xml:space="preserve"> ibid, </w:t>
      </w:r>
      <w:r w:rsidRPr="00C33E39">
        <w:rPr>
          <w:color w:val="000000" w:themeColor="text1"/>
        </w:rPr>
        <w:t>at para. 56.</w:t>
      </w:r>
    </w:p>
  </w:footnote>
  <w:footnote w:id="24">
    <w:p w14:paraId="7D56E2B8" w14:textId="77777777" w:rsidR="009F1295" w:rsidRPr="00FC37B9" w:rsidRDefault="009F1295" w:rsidP="009F1295">
      <w:pPr>
        <w:pStyle w:val="FootnoteText"/>
        <w:rPr>
          <w:lang w:val="en-GB"/>
        </w:rPr>
      </w:pPr>
      <w:r w:rsidRPr="00FC37B9">
        <w:rPr>
          <w:rStyle w:val="FootnoteReference"/>
        </w:rPr>
        <w:footnoteRef/>
      </w:r>
      <w:r w:rsidRPr="00FC37B9">
        <w:t xml:space="preserve"> </w:t>
      </w:r>
      <w:r w:rsidRPr="00C33E39">
        <w:t xml:space="preserve">Judgment of 5 June 2025 </w:t>
      </w:r>
      <w:r w:rsidRPr="00C33E39">
        <w:rPr>
          <w:color w:val="000000" w:themeColor="text1"/>
        </w:rPr>
        <w:t xml:space="preserve">Cases C-762/23 </w:t>
      </w:r>
      <w:r w:rsidRPr="00C33E39">
        <w:rPr>
          <w:i/>
          <w:iCs/>
          <w:color w:val="000000" w:themeColor="text1"/>
        </w:rPr>
        <w:t xml:space="preserve">RL and ors v. </w:t>
      </w:r>
      <w:proofErr w:type="spellStart"/>
      <w:r w:rsidRPr="00C33E39">
        <w:rPr>
          <w:i/>
          <w:iCs/>
          <w:color w:val="000000" w:themeColor="text1"/>
        </w:rPr>
        <w:t>Curtea</w:t>
      </w:r>
      <w:proofErr w:type="spellEnd"/>
      <w:r w:rsidRPr="00C33E39">
        <w:rPr>
          <w:i/>
          <w:iCs/>
          <w:color w:val="000000" w:themeColor="text1"/>
        </w:rPr>
        <w:t xml:space="preserve"> de Apel </w:t>
      </w:r>
      <w:proofErr w:type="spellStart"/>
      <w:r w:rsidRPr="00C33E39">
        <w:rPr>
          <w:i/>
          <w:iCs/>
          <w:color w:val="000000" w:themeColor="text1"/>
        </w:rPr>
        <w:t>Bucuresti</w:t>
      </w:r>
      <w:proofErr w:type="spellEnd"/>
      <w:r w:rsidRPr="00C33E39">
        <w:rPr>
          <w:i/>
          <w:iCs/>
          <w:color w:val="000000" w:themeColor="text1"/>
        </w:rPr>
        <w:t xml:space="preserve"> and </w:t>
      </w:r>
      <w:proofErr w:type="spellStart"/>
      <w:r w:rsidRPr="00C33E39">
        <w:rPr>
          <w:i/>
          <w:iCs/>
          <w:color w:val="000000" w:themeColor="text1"/>
        </w:rPr>
        <w:t>Consiliul</w:t>
      </w:r>
      <w:proofErr w:type="spellEnd"/>
      <w:r w:rsidRPr="00C33E39">
        <w:rPr>
          <w:i/>
          <w:iCs/>
          <w:color w:val="000000" w:themeColor="text1"/>
        </w:rPr>
        <w:t xml:space="preserve"> National </w:t>
      </w:r>
      <w:proofErr w:type="spellStart"/>
      <w:r w:rsidRPr="00C33E39">
        <w:rPr>
          <w:i/>
          <w:iCs/>
          <w:color w:val="000000" w:themeColor="text1"/>
        </w:rPr>
        <w:t>pentru</w:t>
      </w:r>
      <w:proofErr w:type="spellEnd"/>
      <w:r w:rsidRPr="00C33E39">
        <w:rPr>
          <w:i/>
          <w:iCs/>
          <w:color w:val="000000" w:themeColor="text1"/>
        </w:rPr>
        <w:t xml:space="preserve"> </w:t>
      </w:r>
      <w:proofErr w:type="spellStart"/>
      <w:r w:rsidRPr="00C33E39">
        <w:rPr>
          <w:i/>
          <w:iCs/>
          <w:color w:val="000000" w:themeColor="text1"/>
        </w:rPr>
        <w:t>Combatera</w:t>
      </w:r>
      <w:proofErr w:type="spellEnd"/>
      <w:r w:rsidRPr="00C33E39">
        <w:rPr>
          <w:i/>
          <w:iCs/>
          <w:color w:val="000000" w:themeColor="text1"/>
        </w:rPr>
        <w:t xml:space="preserve"> </w:t>
      </w:r>
      <w:proofErr w:type="spellStart"/>
      <w:r w:rsidRPr="00C33E39">
        <w:rPr>
          <w:i/>
          <w:iCs/>
          <w:color w:val="000000" w:themeColor="text1"/>
        </w:rPr>
        <w:t>Discriminarii</w:t>
      </w:r>
      <w:proofErr w:type="spellEnd"/>
      <w:r w:rsidRPr="00C33E39">
        <w:rPr>
          <w:i/>
          <w:iCs/>
          <w:color w:val="000000" w:themeColor="text1"/>
        </w:rPr>
        <w:t xml:space="preserve"> </w:t>
      </w:r>
      <w:r w:rsidRPr="00C33E39">
        <w:rPr>
          <w:color w:val="000000" w:themeColor="text1"/>
        </w:rPr>
        <w:t>ECLI:EU:</w:t>
      </w:r>
      <w:proofErr w:type="gramStart"/>
      <w:r w:rsidRPr="00C33E39">
        <w:rPr>
          <w:color w:val="000000" w:themeColor="text1"/>
        </w:rPr>
        <w:t>C:2025:400</w:t>
      </w:r>
      <w:proofErr w:type="gramEnd"/>
      <w:r w:rsidRPr="00C33E39">
        <w:rPr>
          <w:color w:val="000000" w:themeColor="text1"/>
        </w:rPr>
        <w:t xml:space="preserve"> at para. 32.</w:t>
      </w:r>
    </w:p>
  </w:footnote>
  <w:footnote w:id="25">
    <w:p w14:paraId="0944B7C4" w14:textId="77777777" w:rsidR="009F1295" w:rsidRPr="00C33E39" w:rsidRDefault="009F1295" w:rsidP="009F1295">
      <w:pPr>
        <w:pStyle w:val="FootnoteText"/>
        <w:rPr>
          <w:lang w:val="en-GB"/>
        </w:rPr>
      </w:pPr>
      <w:r w:rsidRPr="00C33E39">
        <w:rPr>
          <w:rStyle w:val="FootnoteReference"/>
        </w:rPr>
        <w:footnoteRef/>
      </w:r>
      <w:r w:rsidRPr="00C33E39">
        <w:t xml:space="preserve"> Judgment of 5 June 2025 </w:t>
      </w:r>
      <w:r w:rsidRPr="00C33E39">
        <w:rPr>
          <w:color w:val="000000" w:themeColor="text1"/>
        </w:rPr>
        <w:t xml:space="preserve">Cases C-762/23 </w:t>
      </w:r>
      <w:r w:rsidRPr="00C33E39">
        <w:rPr>
          <w:i/>
          <w:iCs/>
          <w:color w:val="000000" w:themeColor="text1"/>
        </w:rPr>
        <w:t xml:space="preserve">RL and ors v. </w:t>
      </w:r>
      <w:proofErr w:type="spellStart"/>
      <w:r w:rsidRPr="00C33E39">
        <w:rPr>
          <w:i/>
          <w:iCs/>
          <w:color w:val="000000" w:themeColor="text1"/>
        </w:rPr>
        <w:t>Curtea</w:t>
      </w:r>
      <w:proofErr w:type="spellEnd"/>
      <w:r w:rsidRPr="00C33E39">
        <w:rPr>
          <w:i/>
          <w:iCs/>
          <w:color w:val="000000" w:themeColor="text1"/>
        </w:rPr>
        <w:t xml:space="preserve"> de Apel </w:t>
      </w:r>
      <w:proofErr w:type="spellStart"/>
      <w:r w:rsidRPr="00C33E39">
        <w:rPr>
          <w:i/>
          <w:iCs/>
          <w:color w:val="000000" w:themeColor="text1"/>
        </w:rPr>
        <w:t>Bucuresti</w:t>
      </w:r>
      <w:proofErr w:type="spellEnd"/>
      <w:r w:rsidRPr="00C33E39">
        <w:rPr>
          <w:i/>
          <w:iCs/>
          <w:color w:val="000000" w:themeColor="text1"/>
        </w:rPr>
        <w:t xml:space="preserve"> and </w:t>
      </w:r>
      <w:proofErr w:type="spellStart"/>
      <w:r w:rsidRPr="00C33E39">
        <w:rPr>
          <w:i/>
          <w:iCs/>
          <w:color w:val="000000" w:themeColor="text1"/>
        </w:rPr>
        <w:t>Consiliul</w:t>
      </w:r>
      <w:proofErr w:type="spellEnd"/>
      <w:r w:rsidRPr="00C33E39">
        <w:rPr>
          <w:i/>
          <w:iCs/>
          <w:color w:val="000000" w:themeColor="text1"/>
        </w:rPr>
        <w:t xml:space="preserve"> National </w:t>
      </w:r>
      <w:proofErr w:type="spellStart"/>
      <w:r w:rsidRPr="00C33E39">
        <w:rPr>
          <w:i/>
          <w:iCs/>
          <w:color w:val="000000" w:themeColor="text1"/>
        </w:rPr>
        <w:t>pentru</w:t>
      </w:r>
      <w:proofErr w:type="spellEnd"/>
      <w:r w:rsidRPr="00C33E39">
        <w:rPr>
          <w:i/>
          <w:iCs/>
          <w:color w:val="000000" w:themeColor="text1"/>
        </w:rPr>
        <w:t xml:space="preserve"> </w:t>
      </w:r>
      <w:proofErr w:type="spellStart"/>
      <w:r w:rsidRPr="00C33E39">
        <w:rPr>
          <w:i/>
          <w:iCs/>
          <w:color w:val="000000" w:themeColor="text1"/>
        </w:rPr>
        <w:t>Combatera</w:t>
      </w:r>
      <w:proofErr w:type="spellEnd"/>
      <w:r w:rsidRPr="00C33E39">
        <w:rPr>
          <w:i/>
          <w:iCs/>
          <w:color w:val="000000" w:themeColor="text1"/>
        </w:rPr>
        <w:t xml:space="preserve"> </w:t>
      </w:r>
      <w:proofErr w:type="spellStart"/>
      <w:r w:rsidRPr="00C33E39">
        <w:rPr>
          <w:i/>
          <w:iCs/>
          <w:color w:val="000000" w:themeColor="text1"/>
        </w:rPr>
        <w:t>Discriminarii</w:t>
      </w:r>
      <w:proofErr w:type="spellEnd"/>
      <w:r w:rsidRPr="00C33E39">
        <w:rPr>
          <w:i/>
          <w:iCs/>
          <w:color w:val="000000" w:themeColor="text1"/>
        </w:rPr>
        <w:t xml:space="preserve"> </w:t>
      </w:r>
      <w:r w:rsidRPr="00C33E39">
        <w:rPr>
          <w:color w:val="000000" w:themeColor="text1"/>
        </w:rPr>
        <w:t>ECLI:EU:</w:t>
      </w:r>
      <w:proofErr w:type="gramStart"/>
      <w:r w:rsidRPr="00C33E39">
        <w:rPr>
          <w:color w:val="000000" w:themeColor="text1"/>
        </w:rPr>
        <w:t>C:2025:400</w:t>
      </w:r>
      <w:proofErr w:type="gramEnd"/>
      <w:r w:rsidRPr="00C33E39">
        <w:rPr>
          <w:color w:val="000000" w:themeColor="text1"/>
        </w:rPr>
        <w:t xml:space="preserve"> at para. 43.</w:t>
      </w:r>
    </w:p>
  </w:footnote>
  <w:footnote w:id="26">
    <w:p w14:paraId="2C4A84B0" w14:textId="77777777" w:rsidR="009F1295" w:rsidRPr="00C33E39" w:rsidRDefault="009F1295" w:rsidP="009F1295">
      <w:pPr>
        <w:pStyle w:val="FootnoteText"/>
      </w:pPr>
      <w:r w:rsidRPr="00FC37B9">
        <w:rPr>
          <w:rStyle w:val="FootnoteReference"/>
        </w:rPr>
        <w:footnoteRef/>
      </w:r>
      <w:r w:rsidRPr="00FC37B9">
        <w:t xml:space="preserve"> </w:t>
      </w:r>
      <w:r w:rsidRPr="00C33E39">
        <w:t xml:space="preserve">See </w:t>
      </w:r>
      <w:r w:rsidRPr="00C33E39">
        <w:rPr>
          <w:i/>
          <w:iCs/>
        </w:rPr>
        <w:t xml:space="preserve">United States v. Will </w:t>
      </w:r>
      <w:r w:rsidRPr="00C33E39">
        <w:t>449 US 200 (1980);</w:t>
      </w:r>
      <w:r w:rsidRPr="00C33E39">
        <w:rPr>
          <w:i/>
          <w:iCs/>
        </w:rPr>
        <w:t xml:space="preserve"> Beer v. United States </w:t>
      </w:r>
      <w:r w:rsidRPr="00C33E39">
        <w:t>696 F. 3d 1174 (Fed Cir 2012).</w:t>
      </w:r>
    </w:p>
  </w:footnote>
  <w:footnote w:id="27">
    <w:p w14:paraId="41D12D67" w14:textId="77777777" w:rsidR="009F1295" w:rsidRPr="00C33E39" w:rsidRDefault="009F1295" w:rsidP="009F1295">
      <w:pPr>
        <w:pStyle w:val="FootnoteText"/>
        <w:rPr>
          <w:lang w:val="en-GB"/>
        </w:rPr>
      </w:pPr>
      <w:r w:rsidRPr="00C33E39">
        <w:rPr>
          <w:rStyle w:val="FootnoteReference"/>
        </w:rPr>
        <w:footnoteRef/>
      </w:r>
      <w:r w:rsidRPr="00C33E39">
        <w:t xml:space="preserve"> Judgment of 6 March 2025 </w:t>
      </w:r>
      <w:r w:rsidRPr="00C33E39">
        <w:rPr>
          <w:color w:val="000000" w:themeColor="text1"/>
        </w:rPr>
        <w:t xml:space="preserve">Joined Cases C-647/21 and C-648/21 </w:t>
      </w:r>
      <w:r w:rsidRPr="00C33E39">
        <w:rPr>
          <w:i/>
          <w:iCs/>
          <w:color w:val="000000" w:themeColor="text1"/>
        </w:rPr>
        <w:t xml:space="preserve">D. K. and Others v. </w:t>
      </w:r>
      <w:proofErr w:type="spellStart"/>
      <w:r w:rsidRPr="00C33E39">
        <w:rPr>
          <w:i/>
          <w:iCs/>
          <w:color w:val="000000" w:themeColor="text1"/>
        </w:rPr>
        <w:t>Prokuratura</w:t>
      </w:r>
      <w:proofErr w:type="spellEnd"/>
      <w:r w:rsidRPr="00C33E39">
        <w:rPr>
          <w:i/>
          <w:iCs/>
          <w:color w:val="000000" w:themeColor="text1"/>
        </w:rPr>
        <w:t xml:space="preserve"> </w:t>
      </w:r>
      <w:proofErr w:type="spellStart"/>
      <w:r w:rsidRPr="00C33E39">
        <w:rPr>
          <w:i/>
          <w:iCs/>
          <w:color w:val="000000" w:themeColor="text1"/>
        </w:rPr>
        <w:t>Rejonowa</w:t>
      </w:r>
      <w:proofErr w:type="spellEnd"/>
      <w:r w:rsidRPr="00C33E39">
        <w:rPr>
          <w:i/>
          <w:iCs/>
          <w:color w:val="000000" w:themeColor="text1"/>
        </w:rPr>
        <w:t xml:space="preserve"> w </w:t>
      </w:r>
      <w:proofErr w:type="spellStart"/>
      <w:r w:rsidRPr="00C33E39">
        <w:rPr>
          <w:i/>
          <w:iCs/>
          <w:color w:val="000000" w:themeColor="text1"/>
        </w:rPr>
        <w:t>Bytowie</w:t>
      </w:r>
      <w:proofErr w:type="spellEnd"/>
      <w:r w:rsidRPr="00C33E39">
        <w:rPr>
          <w:i/>
          <w:iCs/>
          <w:color w:val="000000" w:themeColor="text1"/>
        </w:rPr>
        <w:t xml:space="preserve"> and </w:t>
      </w:r>
      <w:proofErr w:type="spellStart"/>
      <w:r w:rsidRPr="00C33E39">
        <w:rPr>
          <w:i/>
          <w:iCs/>
          <w:color w:val="000000" w:themeColor="text1"/>
        </w:rPr>
        <w:t>Prokuratura</w:t>
      </w:r>
      <w:proofErr w:type="spellEnd"/>
      <w:r w:rsidRPr="00C33E39">
        <w:rPr>
          <w:i/>
          <w:iCs/>
          <w:color w:val="000000" w:themeColor="text1"/>
        </w:rPr>
        <w:t xml:space="preserve"> </w:t>
      </w:r>
      <w:proofErr w:type="spellStart"/>
      <w:r w:rsidRPr="00C33E39">
        <w:rPr>
          <w:i/>
          <w:iCs/>
          <w:color w:val="000000" w:themeColor="text1"/>
        </w:rPr>
        <w:t>Okręgowa</w:t>
      </w:r>
      <w:proofErr w:type="spellEnd"/>
      <w:r w:rsidRPr="00C33E39">
        <w:rPr>
          <w:i/>
          <w:iCs/>
          <w:color w:val="000000" w:themeColor="text1"/>
        </w:rPr>
        <w:t xml:space="preserve"> w </w:t>
      </w:r>
      <w:proofErr w:type="spellStart"/>
      <w:r w:rsidRPr="00C33E39">
        <w:rPr>
          <w:i/>
          <w:iCs/>
          <w:color w:val="000000" w:themeColor="text1"/>
        </w:rPr>
        <w:t>Łomży</w:t>
      </w:r>
      <w:proofErr w:type="spellEnd"/>
      <w:r w:rsidRPr="00C33E39">
        <w:rPr>
          <w:color w:val="000000" w:themeColor="text1"/>
        </w:rPr>
        <w:t>, ECLI:EU:C:2025:143 at para. 74.</w:t>
      </w:r>
    </w:p>
  </w:footnote>
  <w:footnote w:id="28">
    <w:p w14:paraId="10C79D9D" w14:textId="77777777" w:rsidR="009F1295" w:rsidRPr="00C33E39" w:rsidRDefault="009F1295" w:rsidP="009F1295">
      <w:pPr>
        <w:pStyle w:val="FootnoteText"/>
        <w:rPr>
          <w:lang w:val="en-GB"/>
        </w:rPr>
      </w:pPr>
      <w:r w:rsidRPr="00C33E39">
        <w:rPr>
          <w:rStyle w:val="FootnoteReference"/>
        </w:rPr>
        <w:footnoteRef/>
      </w:r>
      <w:r w:rsidRPr="00C33E39">
        <w:t xml:space="preserve"> Judgment of 6 October 2021 </w:t>
      </w:r>
      <w:r w:rsidRPr="00C33E39">
        <w:rPr>
          <w:i/>
          <w:iCs/>
        </w:rPr>
        <w:t xml:space="preserve">WZ (Chamber of Extraordinary Control and Public Affairs of the Supreme Court – Appointment) </w:t>
      </w:r>
      <w:r w:rsidRPr="00C33E39">
        <w:t>C-487/19 ECLI:EU:</w:t>
      </w:r>
      <w:proofErr w:type="gramStart"/>
      <w:r w:rsidRPr="00C33E39">
        <w:t>C:2021:798</w:t>
      </w:r>
      <w:proofErr w:type="gramEnd"/>
      <w:r w:rsidRPr="00C33E39">
        <w:t xml:space="preserve"> at para. 114.</w:t>
      </w:r>
    </w:p>
  </w:footnote>
  <w:footnote w:id="29">
    <w:p w14:paraId="54F657AA" w14:textId="77777777" w:rsidR="009F1295" w:rsidRPr="00C33E39" w:rsidRDefault="009F1295" w:rsidP="009F1295">
      <w:pPr>
        <w:pStyle w:val="FootnoteText"/>
        <w:rPr>
          <w:lang w:val="en-GB"/>
        </w:rPr>
      </w:pPr>
      <w:r w:rsidRPr="00C33E39">
        <w:rPr>
          <w:rStyle w:val="FootnoteReference"/>
        </w:rPr>
        <w:footnoteRef/>
      </w:r>
      <w:r w:rsidRPr="00C33E39">
        <w:t xml:space="preserve"> Judgment of 1 August 2025 </w:t>
      </w:r>
      <w:r w:rsidRPr="00C33E39">
        <w:rPr>
          <w:color w:val="000000" w:themeColor="text1"/>
        </w:rPr>
        <w:t xml:space="preserve">Joined Cases C-422/23, C-455/23, C-459/23, C-486/23 and C-493/23 </w:t>
      </w:r>
      <w:r w:rsidRPr="00C33E39">
        <w:rPr>
          <w:i/>
          <w:iCs/>
          <w:color w:val="000000" w:themeColor="text1"/>
        </w:rPr>
        <w:t>T.B. and Others  v. C.B. and Others</w:t>
      </w:r>
      <w:r w:rsidRPr="00C33E39">
        <w:rPr>
          <w:color w:val="000000" w:themeColor="text1"/>
        </w:rPr>
        <w:t xml:space="preserve"> (</w:t>
      </w:r>
      <w:r w:rsidRPr="00C33E39">
        <w:rPr>
          <w:i/>
          <w:iCs/>
          <w:color w:val="000000" w:themeColor="text1"/>
        </w:rPr>
        <w:t>Daka</w:t>
      </w:r>
      <w:r w:rsidRPr="00C33E39">
        <w:rPr>
          <w:color w:val="000000" w:themeColor="text1"/>
        </w:rPr>
        <w:t>) ECLI:EU:C:2025:592.</w:t>
      </w:r>
    </w:p>
  </w:footnote>
  <w:footnote w:id="30">
    <w:p w14:paraId="098E077A" w14:textId="77777777" w:rsidR="009F1295" w:rsidRPr="00C33E39" w:rsidRDefault="009F1295" w:rsidP="009F1295">
      <w:pPr>
        <w:pStyle w:val="FootnoteText"/>
        <w:rPr>
          <w:lang w:val="en-GB"/>
        </w:rPr>
      </w:pPr>
      <w:r w:rsidRPr="00C33E39">
        <w:rPr>
          <w:rStyle w:val="FootnoteReference"/>
        </w:rPr>
        <w:footnoteRef/>
      </w:r>
      <w:r w:rsidRPr="00C33E39">
        <w:t xml:space="preserve"> Judgment of 1 August 2025 </w:t>
      </w:r>
      <w:r w:rsidRPr="00C33E39">
        <w:rPr>
          <w:color w:val="000000" w:themeColor="text1"/>
        </w:rPr>
        <w:t xml:space="preserve">Joined Cases C-422/23, C-455/23, C-459/23, C-486/23 and C-493/23 </w:t>
      </w:r>
      <w:r w:rsidRPr="00C33E39">
        <w:rPr>
          <w:i/>
          <w:iCs/>
          <w:color w:val="000000" w:themeColor="text1"/>
        </w:rPr>
        <w:t xml:space="preserve">T.B. and </w:t>
      </w:r>
      <w:proofErr w:type="gramStart"/>
      <w:r w:rsidRPr="00C33E39">
        <w:rPr>
          <w:i/>
          <w:iCs/>
          <w:color w:val="000000" w:themeColor="text1"/>
        </w:rPr>
        <w:t>Others  v.</w:t>
      </w:r>
      <w:proofErr w:type="gramEnd"/>
      <w:r w:rsidRPr="00C33E39">
        <w:rPr>
          <w:i/>
          <w:iCs/>
          <w:color w:val="000000" w:themeColor="text1"/>
        </w:rPr>
        <w:t xml:space="preserve"> C.B. and Others</w:t>
      </w:r>
      <w:r w:rsidRPr="00C33E39">
        <w:rPr>
          <w:color w:val="000000" w:themeColor="text1"/>
        </w:rPr>
        <w:t xml:space="preserve"> (</w:t>
      </w:r>
      <w:r w:rsidRPr="00C33E39">
        <w:rPr>
          <w:i/>
          <w:iCs/>
          <w:color w:val="000000" w:themeColor="text1"/>
        </w:rPr>
        <w:t>Daka</w:t>
      </w:r>
      <w:r w:rsidRPr="00C33E39">
        <w:rPr>
          <w:color w:val="000000" w:themeColor="text1"/>
        </w:rPr>
        <w:t>) ECLI:EU:C:2025:592 at para. 83.</w:t>
      </w:r>
    </w:p>
  </w:footnote>
  <w:footnote w:id="31">
    <w:p w14:paraId="28C18A52" w14:textId="77777777" w:rsidR="009F1295" w:rsidRPr="00C33E39" w:rsidRDefault="009F1295" w:rsidP="009F1295">
      <w:pPr>
        <w:pStyle w:val="FootnoteText"/>
        <w:rPr>
          <w:lang w:val="en-GB"/>
        </w:rPr>
      </w:pPr>
      <w:r w:rsidRPr="00C33E39">
        <w:rPr>
          <w:rStyle w:val="FootnoteReference"/>
        </w:rPr>
        <w:footnoteRef/>
      </w:r>
      <w:r w:rsidRPr="00C33E39">
        <w:t xml:space="preserve"> Judgment of 4 September 2025 </w:t>
      </w:r>
      <w:r w:rsidRPr="00C33E39">
        <w:rPr>
          <w:color w:val="000000" w:themeColor="text1"/>
        </w:rPr>
        <w:t xml:space="preserve">Case C-225/22 </w:t>
      </w:r>
      <w:r w:rsidRPr="00C33E39">
        <w:rPr>
          <w:i/>
          <w:iCs/>
          <w:color w:val="000000" w:themeColor="text1"/>
        </w:rPr>
        <w:t xml:space="preserve">R’ S.A.  v. AW ‘T’ sp. z </w:t>
      </w:r>
      <w:proofErr w:type="spellStart"/>
      <w:r w:rsidRPr="00C33E39">
        <w:rPr>
          <w:i/>
          <w:iCs/>
          <w:color w:val="000000" w:themeColor="text1"/>
        </w:rPr>
        <w:t>o.o.</w:t>
      </w:r>
      <w:proofErr w:type="spellEnd"/>
      <w:r w:rsidRPr="00C33E39">
        <w:rPr>
          <w:i/>
          <w:iCs/>
          <w:color w:val="000000" w:themeColor="text1"/>
        </w:rPr>
        <w:t xml:space="preserve"> </w:t>
      </w:r>
      <w:r w:rsidRPr="00C33E39">
        <w:rPr>
          <w:color w:val="000000" w:themeColor="text1"/>
        </w:rPr>
        <w:t>ECLI:EU:</w:t>
      </w:r>
      <w:proofErr w:type="gramStart"/>
      <w:r w:rsidRPr="00C33E39">
        <w:rPr>
          <w:color w:val="000000" w:themeColor="text1"/>
        </w:rPr>
        <w:t>C:2025:649</w:t>
      </w:r>
      <w:proofErr w:type="gramEnd"/>
      <w:r w:rsidRPr="00C33E39">
        <w:rPr>
          <w:color w:val="000000" w:themeColor="text1"/>
        </w:rPr>
        <w:t xml:space="preserve"> at para. 63.</w:t>
      </w:r>
    </w:p>
  </w:footnote>
  <w:footnote w:id="32">
    <w:p w14:paraId="23E42BB4" w14:textId="77777777" w:rsidR="009F1295" w:rsidRPr="00C33E39" w:rsidRDefault="009F1295" w:rsidP="009F1295">
      <w:pPr>
        <w:pStyle w:val="FootnoteText"/>
        <w:rPr>
          <w:lang w:val="en-GB"/>
        </w:rPr>
      </w:pPr>
      <w:r w:rsidRPr="00C33E39">
        <w:rPr>
          <w:rStyle w:val="FootnoteReference"/>
        </w:rPr>
        <w:footnoteRef/>
      </w:r>
      <w:r w:rsidRPr="00C33E39">
        <w:t xml:space="preserve"> </w:t>
      </w:r>
      <w:r w:rsidRPr="00C33E39">
        <w:rPr>
          <w:color w:val="000000" w:themeColor="text1"/>
        </w:rPr>
        <w:t>ibid at para. 68.</w:t>
      </w:r>
    </w:p>
  </w:footnote>
  <w:footnote w:id="33">
    <w:p w14:paraId="036D6FE9" w14:textId="77777777" w:rsidR="009F1295" w:rsidRPr="00C33E39" w:rsidRDefault="009F1295" w:rsidP="009F1295">
      <w:pPr>
        <w:pStyle w:val="FootnoteText"/>
        <w:rPr>
          <w:lang w:val="en-GB"/>
        </w:rPr>
      </w:pPr>
      <w:r w:rsidRPr="00C33E39">
        <w:rPr>
          <w:rStyle w:val="FootnoteReference"/>
        </w:rPr>
        <w:footnoteRef/>
      </w:r>
      <w:r w:rsidRPr="00C33E39">
        <w:t xml:space="preserve"> Judgment of 18 December 2025 </w:t>
      </w:r>
      <w:r w:rsidRPr="00C33E39">
        <w:rPr>
          <w:color w:val="000000" w:themeColor="text1"/>
        </w:rPr>
        <w:t xml:space="preserve">C-448/23 </w:t>
      </w:r>
      <w:r w:rsidRPr="00C33E39">
        <w:rPr>
          <w:i/>
          <w:iCs/>
          <w:color w:val="000000" w:themeColor="text1"/>
        </w:rPr>
        <w:t xml:space="preserve">Commission v. Republic of Poland </w:t>
      </w:r>
      <w:r w:rsidRPr="00C33E39">
        <w:rPr>
          <w:color w:val="000000" w:themeColor="text1"/>
        </w:rPr>
        <w:t>ECLI:EU:</w:t>
      </w:r>
      <w:proofErr w:type="gramStart"/>
      <w:r w:rsidRPr="00C33E39">
        <w:rPr>
          <w:color w:val="000000" w:themeColor="text1"/>
        </w:rPr>
        <w:t>C:2025:975</w:t>
      </w:r>
      <w:proofErr w:type="gramEnd"/>
      <w:r w:rsidRPr="00C33E39">
        <w:rPr>
          <w:color w:val="000000" w:themeColor="text1"/>
        </w:rPr>
        <w:t xml:space="preserve">  at paras. 126 and 141.</w:t>
      </w:r>
    </w:p>
  </w:footnote>
  <w:footnote w:id="34">
    <w:p w14:paraId="186AF71E" w14:textId="77777777" w:rsidR="009F1295" w:rsidRPr="00C33E39" w:rsidRDefault="009F1295" w:rsidP="009F1295">
      <w:pPr>
        <w:pStyle w:val="FootnoteText"/>
        <w:rPr>
          <w:lang w:val="en-GB"/>
        </w:rPr>
      </w:pPr>
      <w:r w:rsidRPr="00C33E39">
        <w:rPr>
          <w:rStyle w:val="FootnoteReference"/>
        </w:rPr>
        <w:footnoteRef/>
      </w:r>
      <w:r w:rsidRPr="00C33E39">
        <w:t xml:space="preserve"> Judgment of 18 December 2025 </w:t>
      </w:r>
      <w:r w:rsidRPr="00C33E39">
        <w:rPr>
          <w:color w:val="000000" w:themeColor="text1"/>
        </w:rPr>
        <w:t xml:space="preserve">C-448/23 </w:t>
      </w:r>
      <w:r w:rsidRPr="00C33E39">
        <w:rPr>
          <w:i/>
          <w:iCs/>
          <w:color w:val="000000" w:themeColor="text1"/>
        </w:rPr>
        <w:t xml:space="preserve">Commission v. Republic of Poland </w:t>
      </w:r>
      <w:r w:rsidRPr="00C33E39">
        <w:rPr>
          <w:color w:val="000000" w:themeColor="text1"/>
        </w:rPr>
        <w:t>ECLI:EU:</w:t>
      </w:r>
      <w:proofErr w:type="gramStart"/>
      <w:r w:rsidRPr="00C33E39">
        <w:rPr>
          <w:color w:val="000000" w:themeColor="text1"/>
        </w:rPr>
        <w:t>C:2025:975</w:t>
      </w:r>
      <w:proofErr w:type="gramEnd"/>
      <w:r w:rsidRPr="00C33E39">
        <w:rPr>
          <w:color w:val="000000" w:themeColor="text1"/>
        </w:rPr>
        <w:t xml:space="preserve"> at para. 110.</w:t>
      </w:r>
    </w:p>
  </w:footnote>
  <w:footnote w:id="35">
    <w:p w14:paraId="5A96F996" w14:textId="77777777" w:rsidR="009F1295" w:rsidRPr="00C33E39" w:rsidRDefault="009F1295" w:rsidP="009F1295">
      <w:pPr>
        <w:pStyle w:val="FootnoteText"/>
        <w:rPr>
          <w:lang w:val="en-GB"/>
        </w:rPr>
      </w:pPr>
      <w:r w:rsidRPr="00C33E39">
        <w:rPr>
          <w:rStyle w:val="FootnoteReference"/>
        </w:rPr>
        <w:footnoteRef/>
      </w:r>
      <w:r w:rsidRPr="00C33E39">
        <w:t xml:space="preserve"> Judgment of 18 December 2025 </w:t>
      </w:r>
      <w:r w:rsidRPr="00C33E39">
        <w:rPr>
          <w:color w:val="000000" w:themeColor="text1"/>
        </w:rPr>
        <w:t xml:space="preserve">C-448/23 </w:t>
      </w:r>
      <w:r w:rsidRPr="00C33E39">
        <w:rPr>
          <w:i/>
          <w:iCs/>
          <w:color w:val="000000" w:themeColor="text1"/>
        </w:rPr>
        <w:t xml:space="preserve">Commission v. Republic of Poland </w:t>
      </w:r>
      <w:r w:rsidRPr="00C33E39">
        <w:rPr>
          <w:color w:val="000000" w:themeColor="text1"/>
        </w:rPr>
        <w:t>ECLI:EU:</w:t>
      </w:r>
      <w:proofErr w:type="gramStart"/>
      <w:r w:rsidRPr="00C33E39">
        <w:rPr>
          <w:color w:val="000000" w:themeColor="text1"/>
        </w:rPr>
        <w:t>C:2025:975</w:t>
      </w:r>
      <w:proofErr w:type="gramEnd"/>
      <w:r w:rsidRPr="00C33E39">
        <w:rPr>
          <w:color w:val="000000" w:themeColor="text1"/>
        </w:rPr>
        <w:t xml:space="preserve"> at para. 177.</w:t>
      </w:r>
    </w:p>
  </w:footnote>
  <w:footnote w:id="36">
    <w:p w14:paraId="6CF1D877" w14:textId="77777777" w:rsidR="009F1295" w:rsidRPr="00C33E39" w:rsidRDefault="009F1295" w:rsidP="009F1295">
      <w:pPr>
        <w:pStyle w:val="FootnoteText"/>
        <w:rPr>
          <w:lang w:val="en-GB"/>
        </w:rPr>
      </w:pPr>
      <w:r w:rsidRPr="00C33E39">
        <w:rPr>
          <w:rStyle w:val="FootnoteReference"/>
        </w:rPr>
        <w:footnoteRef/>
      </w:r>
      <w:r w:rsidRPr="00C33E39">
        <w:t xml:space="preserve"> </w:t>
      </w:r>
      <w:r w:rsidRPr="00C33E39">
        <w:rPr>
          <w:color w:val="000000" w:themeColor="text1"/>
        </w:rPr>
        <w:t xml:space="preserve">ibid at para. 179. See, to that effect, the CJEU’s Judgment of 21 December 2021 in C-896/19 </w:t>
      </w:r>
      <w:proofErr w:type="spellStart"/>
      <w:r w:rsidRPr="00C33E39">
        <w:rPr>
          <w:i/>
          <w:iCs/>
          <w:color w:val="000000" w:themeColor="text1"/>
        </w:rPr>
        <w:t>Repubblika</w:t>
      </w:r>
      <w:proofErr w:type="spellEnd"/>
      <w:r w:rsidRPr="00C33E39">
        <w:rPr>
          <w:color w:val="000000" w:themeColor="text1"/>
        </w:rPr>
        <w:t xml:space="preserve"> ECLI:EU:C:2021:311 at paras. 63-64.</w:t>
      </w:r>
    </w:p>
  </w:footnote>
  <w:footnote w:id="37">
    <w:p w14:paraId="150A396E" w14:textId="77777777" w:rsidR="009F1295" w:rsidRPr="00C33E39" w:rsidRDefault="009F1295" w:rsidP="009F1295">
      <w:pPr>
        <w:pStyle w:val="FootnoteText"/>
        <w:rPr>
          <w:lang w:val="en-GB"/>
        </w:rPr>
      </w:pPr>
      <w:r w:rsidRPr="00C33E39">
        <w:rPr>
          <w:rStyle w:val="FootnoteReference"/>
        </w:rPr>
        <w:footnoteRef/>
      </w:r>
      <w:r w:rsidRPr="00C33E39">
        <w:t xml:space="preserve"> Judgment of 5 June 2023 C-156/21 </w:t>
      </w:r>
      <w:r w:rsidRPr="00C33E39">
        <w:rPr>
          <w:i/>
          <w:iCs/>
        </w:rPr>
        <w:t>Hungary v. Parliament and Council</w:t>
      </w:r>
      <w:r w:rsidRPr="00C33E39">
        <w:t xml:space="preserve"> ECLI:EU:2022:97.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23A8"/>
    <w:multiLevelType w:val="hybridMultilevel"/>
    <w:tmpl w:val="79124C56"/>
    <w:lvl w:ilvl="0" w:tplc="097E93E4">
      <w:start w:val="1"/>
      <w:numFmt w:val="decimal"/>
      <w:lvlText w:val="%1."/>
      <w:lvlJc w:val="left"/>
      <w:pPr>
        <w:ind w:left="567"/>
      </w:pPr>
      <w:rPr>
        <w:rFonts w:ascii="Verdana" w:eastAsia="Times New Roman" w:hAnsi="Verdana" w:cs="Times New Roman" w:hint="default"/>
        <w:b w:val="0"/>
        <w:i w:val="0"/>
        <w:strike w:val="0"/>
        <w:dstrike w:val="0"/>
        <w:color w:val="000000"/>
        <w:sz w:val="24"/>
        <w:szCs w:val="24"/>
        <w:u w:val="none" w:color="000000"/>
        <w:bdr w:val="none" w:sz="0" w:space="0" w:color="auto"/>
        <w:shd w:val="clear" w:color="auto" w:fill="auto"/>
        <w:vertAlign w:val="baseline"/>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62A7C0B"/>
    <w:multiLevelType w:val="hybridMultilevel"/>
    <w:tmpl w:val="4498ECB8"/>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1B314B56"/>
    <w:multiLevelType w:val="hybridMultilevel"/>
    <w:tmpl w:val="09183B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C540183"/>
    <w:multiLevelType w:val="multilevel"/>
    <w:tmpl w:val="72800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D4B52"/>
    <w:multiLevelType w:val="hybridMultilevel"/>
    <w:tmpl w:val="E91C5B84"/>
    <w:lvl w:ilvl="0" w:tplc="C636974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1095322206">
    <w:abstractNumId w:val="0"/>
  </w:num>
  <w:num w:numId="2" w16cid:durableId="1940671534">
    <w:abstractNumId w:val="3"/>
  </w:num>
  <w:num w:numId="3" w16cid:durableId="890306776">
    <w:abstractNumId w:val="2"/>
  </w:num>
  <w:num w:numId="4" w16cid:durableId="1832332423">
    <w:abstractNumId w:val="4"/>
  </w:num>
  <w:num w:numId="5" w16cid:durableId="322507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7F"/>
    <w:rsid w:val="00006936"/>
    <w:rsid w:val="00021C08"/>
    <w:rsid w:val="00065EED"/>
    <w:rsid w:val="00076676"/>
    <w:rsid w:val="000F3D5B"/>
    <w:rsid w:val="0015563B"/>
    <w:rsid w:val="00165655"/>
    <w:rsid w:val="0017211D"/>
    <w:rsid w:val="001A3D31"/>
    <w:rsid w:val="001B3E7F"/>
    <w:rsid w:val="0022287C"/>
    <w:rsid w:val="003A6C85"/>
    <w:rsid w:val="003D136E"/>
    <w:rsid w:val="0047061A"/>
    <w:rsid w:val="00484E3F"/>
    <w:rsid w:val="004A2218"/>
    <w:rsid w:val="004C2445"/>
    <w:rsid w:val="00501D66"/>
    <w:rsid w:val="00523665"/>
    <w:rsid w:val="00531447"/>
    <w:rsid w:val="005446F4"/>
    <w:rsid w:val="00567008"/>
    <w:rsid w:val="00604579"/>
    <w:rsid w:val="0067024F"/>
    <w:rsid w:val="006C75ED"/>
    <w:rsid w:val="007006F8"/>
    <w:rsid w:val="0072216E"/>
    <w:rsid w:val="0073137F"/>
    <w:rsid w:val="00761603"/>
    <w:rsid w:val="007832DC"/>
    <w:rsid w:val="00784848"/>
    <w:rsid w:val="007922A3"/>
    <w:rsid w:val="007C6C55"/>
    <w:rsid w:val="00825A9F"/>
    <w:rsid w:val="0083305F"/>
    <w:rsid w:val="00850BC3"/>
    <w:rsid w:val="0091305F"/>
    <w:rsid w:val="00924ADB"/>
    <w:rsid w:val="00954F88"/>
    <w:rsid w:val="009A201C"/>
    <w:rsid w:val="009F1295"/>
    <w:rsid w:val="00A02DEA"/>
    <w:rsid w:val="00A1601D"/>
    <w:rsid w:val="00A56A4A"/>
    <w:rsid w:val="00A63B18"/>
    <w:rsid w:val="00A73886"/>
    <w:rsid w:val="00A771B2"/>
    <w:rsid w:val="00AB5DE6"/>
    <w:rsid w:val="00B65254"/>
    <w:rsid w:val="00BA3E1B"/>
    <w:rsid w:val="00BE310B"/>
    <w:rsid w:val="00C36E6C"/>
    <w:rsid w:val="00C60E47"/>
    <w:rsid w:val="00C90986"/>
    <w:rsid w:val="00CB0E0E"/>
    <w:rsid w:val="00CB3BBE"/>
    <w:rsid w:val="00CD108D"/>
    <w:rsid w:val="00CF6167"/>
    <w:rsid w:val="00CF76FD"/>
    <w:rsid w:val="00D3596D"/>
    <w:rsid w:val="00D6509D"/>
    <w:rsid w:val="00D9161B"/>
    <w:rsid w:val="00DE1099"/>
    <w:rsid w:val="00E904FC"/>
    <w:rsid w:val="00EA7882"/>
    <w:rsid w:val="00F13259"/>
    <w:rsid w:val="00F665EA"/>
    <w:rsid w:val="00FA0025"/>
    <w:rsid w:val="00FA0C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BD0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37F"/>
  </w:style>
  <w:style w:type="paragraph" w:styleId="Heading1">
    <w:name w:val="heading 1"/>
    <w:next w:val="Normal"/>
    <w:link w:val="Heading1Char"/>
    <w:uiPriority w:val="9"/>
    <w:qFormat/>
    <w:rsid w:val="00D6509D"/>
    <w:pPr>
      <w:keepNext/>
      <w:keepLines/>
      <w:spacing w:after="153"/>
      <w:ind w:left="10" w:right="1032" w:hanging="10"/>
      <w:outlineLvl w:val="0"/>
    </w:pPr>
    <w:rPr>
      <w:rFonts w:ascii="Times New Roman" w:eastAsia="Times New Roman" w:hAnsi="Times New Roman" w:cs="Times New Roman"/>
      <w:color w:val="000000"/>
      <w:kern w:val="2"/>
      <w:sz w:val="26"/>
      <w:u w:val="single" w:color="000000"/>
      <w:lang w:eastAsia="en-IE"/>
      <w14:ligatures w14:val="standardContextual"/>
    </w:rPr>
  </w:style>
  <w:style w:type="paragraph" w:styleId="Heading2">
    <w:name w:val="heading 2"/>
    <w:next w:val="Normal"/>
    <w:link w:val="Heading2Char"/>
    <w:uiPriority w:val="9"/>
    <w:unhideWhenUsed/>
    <w:qFormat/>
    <w:rsid w:val="00D6509D"/>
    <w:pPr>
      <w:keepNext/>
      <w:keepLines/>
      <w:spacing w:after="153"/>
      <w:ind w:left="10" w:right="1032" w:hanging="10"/>
      <w:outlineLvl w:val="1"/>
    </w:pPr>
    <w:rPr>
      <w:rFonts w:ascii="Times New Roman" w:eastAsia="Times New Roman" w:hAnsi="Times New Roman" w:cs="Times New Roman"/>
      <w:color w:val="000000"/>
      <w:kern w:val="2"/>
      <w:sz w:val="26"/>
      <w:u w:val="single" w:color="000000"/>
      <w:lang w:eastAsia="en-IE"/>
      <w14:ligatures w14:val="standardContextual"/>
    </w:rPr>
  </w:style>
  <w:style w:type="paragraph" w:styleId="Heading3">
    <w:name w:val="heading 3"/>
    <w:next w:val="Normal"/>
    <w:link w:val="Heading3Char"/>
    <w:uiPriority w:val="9"/>
    <w:unhideWhenUsed/>
    <w:qFormat/>
    <w:rsid w:val="00D6509D"/>
    <w:pPr>
      <w:keepNext/>
      <w:keepLines/>
      <w:spacing w:after="153"/>
      <w:ind w:left="10" w:right="1032" w:hanging="10"/>
      <w:outlineLvl w:val="2"/>
    </w:pPr>
    <w:rPr>
      <w:rFonts w:ascii="Times New Roman" w:eastAsia="Times New Roman" w:hAnsi="Times New Roman" w:cs="Times New Roman"/>
      <w:color w:val="000000"/>
      <w:kern w:val="2"/>
      <w:sz w:val="26"/>
      <w:u w:val="single" w:color="000000"/>
      <w:lang w:eastAsia="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137F"/>
    <w:rPr>
      <w:sz w:val="16"/>
      <w:szCs w:val="16"/>
    </w:rPr>
  </w:style>
  <w:style w:type="paragraph" w:styleId="CommentText">
    <w:name w:val="annotation text"/>
    <w:basedOn w:val="Normal"/>
    <w:link w:val="CommentTextChar"/>
    <w:uiPriority w:val="99"/>
    <w:unhideWhenUsed/>
    <w:rsid w:val="0073137F"/>
    <w:pPr>
      <w:spacing w:line="240" w:lineRule="auto"/>
    </w:pPr>
    <w:rPr>
      <w:sz w:val="20"/>
      <w:szCs w:val="20"/>
    </w:rPr>
  </w:style>
  <w:style w:type="character" w:customStyle="1" w:styleId="CommentTextChar">
    <w:name w:val="Comment Text Char"/>
    <w:basedOn w:val="DefaultParagraphFont"/>
    <w:link w:val="CommentText"/>
    <w:uiPriority w:val="99"/>
    <w:rsid w:val="0073137F"/>
    <w:rPr>
      <w:sz w:val="20"/>
      <w:szCs w:val="20"/>
    </w:rPr>
  </w:style>
  <w:style w:type="paragraph" w:styleId="BalloonText">
    <w:name w:val="Balloon Text"/>
    <w:basedOn w:val="Normal"/>
    <w:link w:val="BalloonTextChar"/>
    <w:uiPriority w:val="99"/>
    <w:semiHidden/>
    <w:unhideWhenUsed/>
    <w:rsid w:val="00731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37F"/>
    <w:rPr>
      <w:rFonts w:ascii="Segoe UI" w:hAnsi="Segoe UI" w:cs="Segoe UI"/>
      <w:sz w:val="18"/>
      <w:szCs w:val="18"/>
    </w:rPr>
  </w:style>
  <w:style w:type="paragraph" w:styleId="Revision">
    <w:name w:val="Revision"/>
    <w:hidden/>
    <w:uiPriority w:val="99"/>
    <w:semiHidden/>
    <w:rsid w:val="00A1601D"/>
    <w:pPr>
      <w:spacing w:after="0" w:line="240" w:lineRule="auto"/>
    </w:pPr>
  </w:style>
  <w:style w:type="table" w:styleId="TableGrid">
    <w:name w:val="Table Grid"/>
    <w:basedOn w:val="TableNormal"/>
    <w:uiPriority w:val="39"/>
    <w:rsid w:val="00E90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05F"/>
  </w:style>
  <w:style w:type="paragraph" w:styleId="Footer">
    <w:name w:val="footer"/>
    <w:basedOn w:val="Normal"/>
    <w:link w:val="FooterChar"/>
    <w:uiPriority w:val="99"/>
    <w:unhideWhenUsed/>
    <w:rsid w:val="00913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05F"/>
  </w:style>
  <w:style w:type="paragraph" w:styleId="CommentSubject">
    <w:name w:val="annotation subject"/>
    <w:basedOn w:val="CommentText"/>
    <w:next w:val="CommentText"/>
    <w:link w:val="CommentSubjectChar"/>
    <w:uiPriority w:val="99"/>
    <w:semiHidden/>
    <w:unhideWhenUsed/>
    <w:rsid w:val="00784848"/>
    <w:rPr>
      <w:b/>
      <w:bCs/>
    </w:rPr>
  </w:style>
  <w:style w:type="character" w:customStyle="1" w:styleId="CommentSubjectChar">
    <w:name w:val="Comment Subject Char"/>
    <w:basedOn w:val="CommentTextChar"/>
    <w:link w:val="CommentSubject"/>
    <w:uiPriority w:val="99"/>
    <w:semiHidden/>
    <w:rsid w:val="00784848"/>
    <w:rPr>
      <w:b/>
      <w:bCs/>
      <w:sz w:val="20"/>
      <w:szCs w:val="20"/>
    </w:rPr>
  </w:style>
  <w:style w:type="character" w:customStyle="1" w:styleId="Heading1Char">
    <w:name w:val="Heading 1 Char"/>
    <w:basedOn w:val="DefaultParagraphFont"/>
    <w:link w:val="Heading1"/>
    <w:uiPriority w:val="9"/>
    <w:rsid w:val="00D6509D"/>
    <w:rPr>
      <w:rFonts w:ascii="Times New Roman" w:eastAsia="Times New Roman" w:hAnsi="Times New Roman" w:cs="Times New Roman"/>
      <w:color w:val="000000"/>
      <w:kern w:val="2"/>
      <w:sz w:val="26"/>
      <w:u w:val="single" w:color="000000"/>
      <w:lang w:eastAsia="en-IE"/>
      <w14:ligatures w14:val="standardContextual"/>
    </w:rPr>
  </w:style>
  <w:style w:type="character" w:customStyle="1" w:styleId="Heading2Char">
    <w:name w:val="Heading 2 Char"/>
    <w:basedOn w:val="DefaultParagraphFont"/>
    <w:link w:val="Heading2"/>
    <w:uiPriority w:val="9"/>
    <w:rsid w:val="00D6509D"/>
    <w:rPr>
      <w:rFonts w:ascii="Times New Roman" w:eastAsia="Times New Roman" w:hAnsi="Times New Roman" w:cs="Times New Roman"/>
      <w:color w:val="000000"/>
      <w:kern w:val="2"/>
      <w:sz w:val="26"/>
      <w:u w:val="single" w:color="000000"/>
      <w:lang w:eastAsia="en-IE"/>
      <w14:ligatures w14:val="standardContextual"/>
    </w:rPr>
  </w:style>
  <w:style w:type="character" w:customStyle="1" w:styleId="Heading3Char">
    <w:name w:val="Heading 3 Char"/>
    <w:basedOn w:val="DefaultParagraphFont"/>
    <w:link w:val="Heading3"/>
    <w:uiPriority w:val="9"/>
    <w:rsid w:val="00D6509D"/>
    <w:rPr>
      <w:rFonts w:ascii="Times New Roman" w:eastAsia="Times New Roman" w:hAnsi="Times New Roman" w:cs="Times New Roman"/>
      <w:color w:val="000000"/>
      <w:kern w:val="2"/>
      <w:sz w:val="26"/>
      <w:u w:val="single" w:color="000000"/>
      <w:lang w:eastAsia="en-IE"/>
      <w14:ligatures w14:val="standardContextual"/>
    </w:rPr>
  </w:style>
  <w:style w:type="paragraph" w:styleId="FootnoteText">
    <w:name w:val="footnote text"/>
    <w:basedOn w:val="Normal"/>
    <w:link w:val="FootnoteTextChar"/>
    <w:uiPriority w:val="99"/>
    <w:semiHidden/>
    <w:unhideWhenUsed/>
    <w:rsid w:val="00D6509D"/>
    <w:pPr>
      <w:spacing w:after="0" w:line="240" w:lineRule="auto"/>
      <w:ind w:left="836" w:right="610" w:hanging="346"/>
      <w:jc w:val="both"/>
    </w:pPr>
    <w:rPr>
      <w:rFonts w:ascii="Times New Roman" w:eastAsia="Times New Roman" w:hAnsi="Times New Roman" w:cs="Times New Roman"/>
      <w:color w:val="000000"/>
      <w:kern w:val="2"/>
      <w:sz w:val="20"/>
      <w:szCs w:val="20"/>
      <w:lang w:eastAsia="en-IE"/>
      <w14:ligatures w14:val="standardContextual"/>
    </w:rPr>
  </w:style>
  <w:style w:type="character" w:customStyle="1" w:styleId="FootnoteTextChar">
    <w:name w:val="Footnote Text Char"/>
    <w:basedOn w:val="DefaultParagraphFont"/>
    <w:link w:val="FootnoteText"/>
    <w:uiPriority w:val="99"/>
    <w:semiHidden/>
    <w:rsid w:val="00D6509D"/>
    <w:rPr>
      <w:rFonts w:ascii="Times New Roman" w:eastAsia="Times New Roman" w:hAnsi="Times New Roman" w:cs="Times New Roman"/>
      <w:color w:val="000000"/>
      <w:kern w:val="2"/>
      <w:sz w:val="20"/>
      <w:szCs w:val="20"/>
      <w:lang w:eastAsia="en-IE"/>
      <w14:ligatures w14:val="standardContextual"/>
    </w:rPr>
  </w:style>
  <w:style w:type="character" w:styleId="FootnoteReference">
    <w:name w:val="footnote reference"/>
    <w:basedOn w:val="DefaultParagraphFont"/>
    <w:uiPriority w:val="99"/>
    <w:semiHidden/>
    <w:unhideWhenUsed/>
    <w:rsid w:val="00D6509D"/>
    <w:rPr>
      <w:vertAlign w:val="superscript"/>
    </w:rPr>
  </w:style>
  <w:style w:type="paragraph" w:styleId="ListParagraph">
    <w:name w:val="List Paragraph"/>
    <w:basedOn w:val="Normal"/>
    <w:uiPriority w:val="34"/>
    <w:qFormat/>
    <w:rsid w:val="00D6509D"/>
    <w:pPr>
      <w:spacing w:after="144" w:line="258" w:lineRule="auto"/>
      <w:ind w:left="720" w:right="610" w:hanging="346"/>
      <w:contextualSpacing/>
      <w:jc w:val="both"/>
    </w:pPr>
    <w:rPr>
      <w:rFonts w:ascii="Times New Roman" w:eastAsia="Times New Roman" w:hAnsi="Times New Roman" w:cs="Times New Roman"/>
      <w:color w:val="000000"/>
      <w:kern w:val="2"/>
      <w:sz w:val="24"/>
      <w:lang w:eastAsia="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6533">
      <w:bodyDiv w:val="1"/>
      <w:marLeft w:val="0"/>
      <w:marRight w:val="0"/>
      <w:marTop w:val="0"/>
      <w:marBottom w:val="0"/>
      <w:divBdr>
        <w:top w:val="none" w:sz="0" w:space="0" w:color="auto"/>
        <w:left w:val="none" w:sz="0" w:space="0" w:color="auto"/>
        <w:bottom w:val="none" w:sz="0" w:space="0" w:color="auto"/>
        <w:right w:val="none" w:sz="0" w:space="0" w:color="auto"/>
      </w:divBdr>
    </w:div>
    <w:div w:id="12668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3361</Words>
  <Characters>19158</Characters>
  <Application>Microsoft Office Word</Application>
  <DocSecurity>0</DocSecurity>
  <Lines>159</Lines>
  <Paragraphs>44</Paragraphs>
  <ScaleCrop>false</ScaleCrop>
  <Company/>
  <LinksUpToDate>false</LinksUpToDate>
  <CharactersWithSpaces>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2026-03-02T23:13:00Z</dcterms:created>
  <dcterms:modified xsi:type="dcterms:W3CDTF">2026-03-02T23:13:00Z</dcterms:modified>
</cp:coreProperties>
</file>